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1E9" w:rsidRDefault="001D4EBC">
      <w:pPr>
        <w:pStyle w:val="BodyText"/>
        <w:rPr>
          <w:rFonts w:ascii="Times New Roman"/>
          <w:sz w:val="20"/>
        </w:rPr>
      </w:pPr>
      <w:bookmarkStart w:id="0" w:name="_Hlk172885993"/>
      <w:bookmarkEnd w:id="0"/>
      <w:r w:rsidRPr="001D4EBC">
        <w:rPr>
          <w:noProof/>
        </w:rPr>
        <w:pict>
          <v:roundrect id="Rectangle: Rounded Corners 1" o:spid="_x0000_s1026" style="position:absolute;margin-left:-16.55pt;margin-top:2.15pt;width:500.4pt;height:668.25pt;z-index:487593472;visibility:visible" arcsize="35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" strokeweight="3pt">
            <v:stroke linestyle="thinThin"/>
            <v:textbox>
              <w:txbxContent>
                <w:p w:rsidR="00DC1084" w:rsidRDefault="00DC1084" w:rsidP="00DC1084">
                  <w:pPr>
                    <w:jc w:val="center"/>
                  </w:pPr>
                  <w:bookmarkStart w:id="1" w:name="_Hlk172899944"/>
                  <w:bookmarkEnd w:id="1"/>
                </w:p>
                <w:p w:rsidR="00DC1084" w:rsidRDefault="00DC1084" w:rsidP="00DC1084">
                  <w:pPr>
                    <w:jc w:val="center"/>
                  </w:pPr>
                </w:p>
                <w:p w:rsidR="00DC1084" w:rsidRPr="00BE3F19" w:rsidRDefault="00DC1084" w:rsidP="00DC1084">
                  <w:pPr>
                    <w:ind w:right="-180"/>
                    <w:jc w:val="center"/>
                    <w:rPr>
                      <w:b/>
                      <w:sz w:val="36"/>
                      <w:szCs w:val="36"/>
                    </w:rPr>
                  </w:pPr>
                  <w:r w:rsidRPr="00BE3F19">
                    <w:rPr>
                      <w:b/>
                      <w:sz w:val="36"/>
                      <w:szCs w:val="36"/>
                    </w:rPr>
                    <w:t>NAGALAND ELECTRICITY REGULATORY COMMISSION</w:t>
                  </w:r>
                </w:p>
                <w:p w:rsidR="00DC1084" w:rsidRDefault="00DC1084" w:rsidP="00DC1084">
                  <w:pPr>
                    <w:jc w:val="center"/>
                    <w:rPr>
                      <w:b/>
                      <w:sz w:val="36"/>
                      <w:szCs w:val="36"/>
                    </w:rPr>
                  </w:pPr>
                  <w:r>
                    <w:rPr>
                      <w:b/>
                      <w:sz w:val="36"/>
                      <w:szCs w:val="36"/>
                    </w:rPr>
                    <w:t>(NERC)</w:t>
                  </w:r>
                </w:p>
                <w:p w:rsidR="00DC1084" w:rsidRPr="00BE3F19" w:rsidRDefault="00DC1084" w:rsidP="00DC1084">
                  <w:pPr>
                    <w:jc w:val="center"/>
                    <w:rPr>
                      <w:b/>
                      <w:sz w:val="36"/>
                      <w:szCs w:val="36"/>
                    </w:rPr>
                  </w:pPr>
                </w:p>
                <w:p w:rsidR="0042572B" w:rsidRDefault="0042572B" w:rsidP="00DC1084">
                  <w:pPr>
                    <w:jc w:val="center"/>
                    <w:rPr>
                      <w:sz w:val="32"/>
                    </w:rPr>
                  </w:pPr>
                </w:p>
                <w:p w:rsidR="0042572B" w:rsidRDefault="0042572B" w:rsidP="00DC1084">
                  <w:pPr>
                    <w:jc w:val="center"/>
                    <w:rPr>
                      <w:sz w:val="32"/>
                    </w:rPr>
                  </w:pPr>
                </w:p>
                <w:p w:rsidR="00DC1084" w:rsidRDefault="0042572B" w:rsidP="00DC1084">
                  <w:pPr>
                    <w:jc w:val="center"/>
                    <w:rPr>
                      <w:sz w:val="32"/>
                    </w:rPr>
                  </w:pPr>
                  <w:r>
                    <w:rPr>
                      <w:b/>
                      <w:noProof/>
                      <w:sz w:val="36"/>
                      <w:szCs w:val="36"/>
                      <w:lang w:val="en-IN" w:eastAsia="en-IN"/>
                    </w:rPr>
                    <w:drawing>
                      <wp:inline distT="0" distB="0" distL="0" distR="0">
                        <wp:extent cx="1207699" cy="879475"/>
                        <wp:effectExtent l="0" t="0" r="0" b="0"/>
                        <wp:docPr id="20561992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14865" cy="884694"/>
                                </a:xfrm>
                                <a:prstGeom prst="rect">
                                  <a:avLst/>
                                </a:prstGeom>
                                <a:noFill/>
                                <a:ln>
                                  <a:noFill/>
                                </a:ln>
                              </pic:spPr>
                            </pic:pic>
                          </a:graphicData>
                        </a:graphic>
                      </wp:inline>
                    </w:drawing>
                  </w:r>
                </w:p>
                <w:p w:rsidR="0042572B" w:rsidRDefault="0042572B" w:rsidP="00DC1084">
                  <w:pPr>
                    <w:jc w:val="center"/>
                    <w:rPr>
                      <w:b/>
                      <w:sz w:val="28"/>
                      <w:szCs w:val="28"/>
                    </w:rPr>
                  </w:pPr>
                </w:p>
                <w:p w:rsidR="0042572B" w:rsidRDefault="0042572B" w:rsidP="00DC1084">
                  <w:pPr>
                    <w:jc w:val="center"/>
                    <w:rPr>
                      <w:b/>
                      <w:sz w:val="28"/>
                      <w:szCs w:val="28"/>
                    </w:rPr>
                  </w:pPr>
                </w:p>
                <w:p w:rsidR="0042572B" w:rsidRDefault="0042572B" w:rsidP="00DC1084">
                  <w:pPr>
                    <w:jc w:val="center"/>
                    <w:rPr>
                      <w:b/>
                      <w:sz w:val="28"/>
                      <w:szCs w:val="28"/>
                    </w:rPr>
                  </w:pPr>
                </w:p>
                <w:p w:rsidR="00DC1084" w:rsidRDefault="00DC1084" w:rsidP="00DC1084">
                  <w:pPr>
                    <w:jc w:val="center"/>
                    <w:rPr>
                      <w:b/>
                      <w:sz w:val="28"/>
                      <w:szCs w:val="28"/>
                    </w:rPr>
                  </w:pPr>
                  <w:r w:rsidRPr="00B16162">
                    <w:rPr>
                      <w:b/>
                      <w:sz w:val="28"/>
                      <w:szCs w:val="28"/>
                    </w:rPr>
                    <w:t>No.</w:t>
                  </w:r>
                  <w:r>
                    <w:rPr>
                      <w:b/>
                      <w:sz w:val="28"/>
                      <w:szCs w:val="28"/>
                    </w:rPr>
                    <w:t xml:space="preserve"> </w:t>
                  </w:r>
                  <w:r w:rsidRPr="00B16162">
                    <w:rPr>
                      <w:b/>
                      <w:sz w:val="28"/>
                      <w:szCs w:val="28"/>
                    </w:rPr>
                    <w:t>NERC/</w:t>
                  </w:r>
                  <w:r>
                    <w:rPr>
                      <w:b/>
                      <w:sz w:val="28"/>
                      <w:szCs w:val="28"/>
                    </w:rPr>
                    <w:t>REGN</w:t>
                  </w:r>
                  <w:r w:rsidRPr="00B16162">
                    <w:rPr>
                      <w:b/>
                      <w:sz w:val="28"/>
                      <w:szCs w:val="28"/>
                    </w:rPr>
                    <w:t>/</w:t>
                  </w:r>
                  <w:r>
                    <w:rPr>
                      <w:b/>
                      <w:sz w:val="28"/>
                      <w:szCs w:val="28"/>
                    </w:rPr>
                    <w:t>T-15/</w:t>
                  </w:r>
                  <w:r w:rsidRPr="00B16162">
                    <w:rPr>
                      <w:b/>
                      <w:sz w:val="28"/>
                      <w:szCs w:val="28"/>
                    </w:rPr>
                    <w:t>20</w:t>
                  </w:r>
                  <w:r>
                    <w:rPr>
                      <w:b/>
                      <w:sz w:val="28"/>
                      <w:szCs w:val="28"/>
                    </w:rPr>
                    <w:t>21 (Part-II)</w:t>
                  </w:r>
                  <w:r w:rsidRPr="00B16162">
                    <w:rPr>
                      <w:b/>
                      <w:sz w:val="28"/>
                      <w:szCs w:val="28"/>
                    </w:rPr>
                    <w:t xml:space="preserve"> Dated Kohima, the </w:t>
                  </w:r>
                  <w:r w:rsidR="00742A5C">
                    <w:rPr>
                      <w:b/>
                      <w:sz w:val="28"/>
                      <w:szCs w:val="28"/>
                    </w:rPr>
                    <w:t>30</w:t>
                  </w:r>
                  <w:r w:rsidRPr="00517166">
                    <w:rPr>
                      <w:b/>
                      <w:sz w:val="28"/>
                      <w:szCs w:val="28"/>
                      <w:vertAlign w:val="superscript"/>
                    </w:rPr>
                    <w:t>th</w:t>
                  </w:r>
                  <w:r w:rsidR="00742A5C">
                    <w:rPr>
                      <w:b/>
                      <w:sz w:val="28"/>
                      <w:szCs w:val="28"/>
                    </w:rPr>
                    <w:t xml:space="preserve"> Sept</w:t>
                  </w:r>
                  <w:r w:rsidRPr="00B16162">
                    <w:rPr>
                      <w:b/>
                      <w:sz w:val="28"/>
                      <w:szCs w:val="28"/>
                    </w:rPr>
                    <w:t>, 20</w:t>
                  </w:r>
                  <w:r>
                    <w:rPr>
                      <w:b/>
                      <w:sz w:val="28"/>
                      <w:szCs w:val="28"/>
                    </w:rPr>
                    <w:t>24</w:t>
                  </w:r>
                </w:p>
                <w:p w:rsidR="00DC1084" w:rsidRPr="00B16162" w:rsidRDefault="00DC1084" w:rsidP="00DC1084">
                  <w:pPr>
                    <w:jc w:val="center"/>
                    <w:rPr>
                      <w:b/>
                      <w:sz w:val="28"/>
                      <w:szCs w:val="28"/>
                    </w:rPr>
                  </w:pPr>
                </w:p>
                <w:p w:rsidR="0042572B" w:rsidRDefault="0042572B" w:rsidP="00DC1084">
                  <w:pPr>
                    <w:pStyle w:val="Heading4"/>
                    <w:jc w:val="center"/>
                    <w:rPr>
                      <w:b/>
                      <w:color w:val="auto"/>
                      <w:sz w:val="32"/>
                      <w:szCs w:val="32"/>
                    </w:rPr>
                  </w:pPr>
                </w:p>
                <w:p w:rsidR="0042572B" w:rsidRDefault="0042572B" w:rsidP="00DC1084">
                  <w:pPr>
                    <w:pStyle w:val="Heading4"/>
                    <w:jc w:val="center"/>
                    <w:rPr>
                      <w:b/>
                      <w:color w:val="auto"/>
                      <w:sz w:val="32"/>
                      <w:szCs w:val="32"/>
                    </w:rPr>
                  </w:pPr>
                </w:p>
                <w:p w:rsidR="00DC1084" w:rsidRPr="006E36C8" w:rsidRDefault="00DC1084" w:rsidP="00DC1084">
                  <w:pPr>
                    <w:pStyle w:val="Heading4"/>
                    <w:jc w:val="center"/>
                    <w:rPr>
                      <w:b/>
                      <w:i w:val="0"/>
                      <w:iCs w:val="0"/>
                      <w:color w:val="auto"/>
                      <w:sz w:val="32"/>
                      <w:szCs w:val="32"/>
                    </w:rPr>
                  </w:pPr>
                  <w:r w:rsidRPr="006E36C8">
                    <w:rPr>
                      <w:b/>
                      <w:i w:val="0"/>
                      <w:iCs w:val="0"/>
                      <w:color w:val="auto"/>
                      <w:sz w:val="32"/>
                      <w:szCs w:val="32"/>
                    </w:rPr>
                    <w:t>REGULATIONS</w:t>
                  </w:r>
                </w:p>
                <w:p w:rsidR="00DC1084" w:rsidRDefault="00DC1084" w:rsidP="00DC1084">
                  <w:pPr>
                    <w:pStyle w:val="NoSpacing"/>
                    <w:jc w:val="center"/>
                  </w:pPr>
                </w:p>
                <w:p w:rsidR="00DC1084" w:rsidRDefault="00DC1084" w:rsidP="00DC1084">
                  <w:pPr>
                    <w:pStyle w:val="NoSpacing"/>
                    <w:jc w:val="center"/>
                  </w:pPr>
                </w:p>
                <w:p w:rsidR="00DC1084" w:rsidRPr="00364941" w:rsidRDefault="00DC1084" w:rsidP="00DC1084">
                  <w:pPr>
                    <w:pStyle w:val="NoSpacing"/>
                    <w:jc w:val="center"/>
                  </w:pPr>
                </w:p>
                <w:p w:rsidR="00DC1084" w:rsidRDefault="00DC1084" w:rsidP="00DC1084">
                  <w:pPr>
                    <w:jc w:val="center"/>
                    <w:rPr>
                      <w:b/>
                      <w:sz w:val="32"/>
                    </w:rPr>
                  </w:pPr>
                  <w:proofErr w:type="gramStart"/>
                  <w:r>
                    <w:rPr>
                      <w:b/>
                      <w:sz w:val="32"/>
                    </w:rPr>
                    <w:t>o</w:t>
                  </w:r>
                  <w:r w:rsidRPr="00012B04">
                    <w:rPr>
                      <w:b/>
                      <w:sz w:val="32"/>
                    </w:rPr>
                    <w:t>n</w:t>
                  </w:r>
                  <w:proofErr w:type="gramEnd"/>
                </w:p>
                <w:p w:rsidR="00DC1084" w:rsidRDefault="00DC1084" w:rsidP="00DC1084">
                  <w:pPr>
                    <w:pStyle w:val="NoSpacing"/>
                    <w:jc w:val="center"/>
                  </w:pPr>
                </w:p>
                <w:p w:rsidR="00DC1084" w:rsidRDefault="00DC1084" w:rsidP="00DC1084">
                  <w:pPr>
                    <w:jc w:val="center"/>
                  </w:pPr>
                </w:p>
                <w:p w:rsidR="00C318F3" w:rsidRDefault="00C318F3" w:rsidP="00DC1084">
                  <w:pPr>
                    <w:jc w:val="center"/>
                    <w:rPr>
                      <w:b/>
                      <w:bCs/>
                      <w:sz w:val="32"/>
                      <w:szCs w:val="32"/>
                    </w:rPr>
                  </w:pPr>
                  <w:r w:rsidRPr="00C318F3">
                    <w:rPr>
                      <w:b/>
                      <w:bCs/>
                      <w:sz w:val="32"/>
                      <w:szCs w:val="32"/>
                    </w:rPr>
                    <w:t>Methodology</w:t>
                  </w:r>
                  <w:r w:rsidRPr="00C318F3">
                    <w:rPr>
                      <w:b/>
                      <w:bCs/>
                      <w:spacing w:val="1"/>
                      <w:sz w:val="32"/>
                      <w:szCs w:val="32"/>
                    </w:rPr>
                    <w:t xml:space="preserve"> </w:t>
                  </w:r>
                  <w:r w:rsidRPr="00C318F3">
                    <w:rPr>
                      <w:b/>
                      <w:bCs/>
                      <w:sz w:val="32"/>
                      <w:szCs w:val="32"/>
                    </w:rPr>
                    <w:t>for</w:t>
                  </w:r>
                  <w:r w:rsidRPr="00C318F3">
                    <w:rPr>
                      <w:b/>
                      <w:bCs/>
                      <w:spacing w:val="1"/>
                      <w:sz w:val="32"/>
                      <w:szCs w:val="32"/>
                    </w:rPr>
                    <w:t xml:space="preserve"> </w:t>
                  </w:r>
                  <w:r w:rsidRPr="00C318F3">
                    <w:rPr>
                      <w:b/>
                      <w:bCs/>
                      <w:sz w:val="32"/>
                      <w:szCs w:val="32"/>
                    </w:rPr>
                    <w:t>determination</w:t>
                  </w:r>
                  <w:r w:rsidRPr="00C318F3">
                    <w:rPr>
                      <w:b/>
                      <w:bCs/>
                      <w:spacing w:val="1"/>
                      <w:sz w:val="32"/>
                      <w:szCs w:val="32"/>
                    </w:rPr>
                    <w:t xml:space="preserve"> </w:t>
                  </w:r>
                  <w:r w:rsidRPr="00C318F3">
                    <w:rPr>
                      <w:b/>
                      <w:bCs/>
                      <w:sz w:val="32"/>
                      <w:szCs w:val="32"/>
                    </w:rPr>
                    <w:t>of</w:t>
                  </w:r>
                  <w:r w:rsidRPr="00C318F3">
                    <w:rPr>
                      <w:b/>
                      <w:bCs/>
                      <w:spacing w:val="1"/>
                      <w:sz w:val="32"/>
                      <w:szCs w:val="32"/>
                    </w:rPr>
                    <w:t xml:space="preserve"> </w:t>
                  </w:r>
                  <w:r w:rsidRPr="00C318F3">
                    <w:rPr>
                      <w:b/>
                      <w:bCs/>
                      <w:sz w:val="32"/>
                      <w:szCs w:val="32"/>
                    </w:rPr>
                    <w:t>Green</w:t>
                  </w:r>
                  <w:r w:rsidRPr="00C318F3">
                    <w:rPr>
                      <w:b/>
                      <w:bCs/>
                      <w:spacing w:val="1"/>
                      <w:sz w:val="32"/>
                      <w:szCs w:val="32"/>
                    </w:rPr>
                    <w:t xml:space="preserve"> </w:t>
                  </w:r>
                  <w:r w:rsidRPr="00C318F3">
                    <w:rPr>
                      <w:b/>
                      <w:bCs/>
                      <w:sz w:val="32"/>
                      <w:szCs w:val="32"/>
                    </w:rPr>
                    <w:t>Energy</w:t>
                  </w:r>
                </w:p>
                <w:p w:rsidR="00C318F3" w:rsidRPr="00C318F3" w:rsidRDefault="00C318F3" w:rsidP="00DC1084">
                  <w:pPr>
                    <w:jc w:val="center"/>
                    <w:rPr>
                      <w:b/>
                      <w:bCs/>
                      <w:sz w:val="32"/>
                      <w:szCs w:val="32"/>
                    </w:rPr>
                  </w:pPr>
                  <w:r w:rsidRPr="00C318F3">
                    <w:rPr>
                      <w:b/>
                      <w:bCs/>
                      <w:sz w:val="32"/>
                      <w:szCs w:val="32"/>
                    </w:rPr>
                    <w:t>Open</w:t>
                  </w:r>
                  <w:r w:rsidRPr="00C318F3">
                    <w:rPr>
                      <w:b/>
                      <w:bCs/>
                      <w:spacing w:val="1"/>
                      <w:sz w:val="32"/>
                      <w:szCs w:val="32"/>
                    </w:rPr>
                    <w:t xml:space="preserve"> </w:t>
                  </w:r>
                  <w:r w:rsidRPr="00C318F3">
                    <w:rPr>
                      <w:b/>
                      <w:bCs/>
                      <w:sz w:val="32"/>
                      <w:szCs w:val="32"/>
                    </w:rPr>
                    <w:t>Access</w:t>
                  </w:r>
                  <w:r w:rsidRPr="00C318F3">
                    <w:rPr>
                      <w:b/>
                      <w:bCs/>
                      <w:spacing w:val="1"/>
                      <w:sz w:val="32"/>
                      <w:szCs w:val="32"/>
                    </w:rPr>
                    <w:t xml:space="preserve"> </w:t>
                  </w:r>
                  <w:r w:rsidRPr="00C318F3">
                    <w:rPr>
                      <w:b/>
                      <w:bCs/>
                      <w:sz w:val="32"/>
                      <w:szCs w:val="32"/>
                    </w:rPr>
                    <w:t>Charges</w:t>
                  </w:r>
                </w:p>
                <w:p w:rsidR="00DC1084" w:rsidRDefault="00DC1084" w:rsidP="00DC1084">
                  <w:pPr>
                    <w:jc w:val="center"/>
                  </w:pPr>
                </w:p>
                <w:p w:rsidR="00DC1084" w:rsidRDefault="00DC1084" w:rsidP="00DC1084">
                  <w:pPr>
                    <w:jc w:val="center"/>
                  </w:pPr>
                </w:p>
                <w:p w:rsidR="00DC1084" w:rsidRDefault="00DC1084" w:rsidP="00DC1084">
                  <w:pPr>
                    <w:jc w:val="center"/>
                  </w:pPr>
                </w:p>
                <w:p w:rsidR="00DC1084" w:rsidRDefault="00DC1084" w:rsidP="00DC1084">
                  <w:pPr>
                    <w:jc w:val="center"/>
                  </w:pPr>
                </w:p>
                <w:p w:rsidR="0042572B" w:rsidRDefault="0042572B" w:rsidP="00DC1084">
                  <w:pPr>
                    <w:jc w:val="center"/>
                  </w:pPr>
                </w:p>
                <w:p w:rsidR="0042572B" w:rsidRDefault="0042572B" w:rsidP="00DC1084">
                  <w:pPr>
                    <w:jc w:val="center"/>
                  </w:pPr>
                </w:p>
                <w:p w:rsidR="0042572B" w:rsidRDefault="0042572B" w:rsidP="00DC1084">
                  <w:pPr>
                    <w:jc w:val="center"/>
                  </w:pPr>
                </w:p>
                <w:p w:rsidR="0042572B" w:rsidRDefault="0042572B" w:rsidP="00DC1084">
                  <w:pPr>
                    <w:jc w:val="center"/>
                  </w:pPr>
                </w:p>
                <w:p w:rsidR="0042572B" w:rsidRDefault="0042572B" w:rsidP="00DC1084">
                  <w:pPr>
                    <w:jc w:val="center"/>
                  </w:pPr>
                </w:p>
                <w:p w:rsidR="00DC1084" w:rsidRPr="0042572B" w:rsidRDefault="00DC1084" w:rsidP="00DC1084">
                  <w:pPr>
                    <w:jc w:val="center"/>
                    <w:rPr>
                      <w:i/>
                      <w:sz w:val="24"/>
                      <w:szCs w:val="24"/>
                    </w:rPr>
                  </w:pPr>
                  <w:r w:rsidRPr="0042572B">
                    <w:rPr>
                      <w:i/>
                      <w:sz w:val="24"/>
                      <w:szCs w:val="24"/>
                    </w:rPr>
                    <w:t>Near E-in-C Office, Department of Power</w:t>
                  </w:r>
                </w:p>
                <w:p w:rsidR="00DC1084" w:rsidRPr="0042572B" w:rsidRDefault="00DC1084" w:rsidP="00DC1084">
                  <w:pPr>
                    <w:jc w:val="center"/>
                    <w:rPr>
                      <w:i/>
                      <w:sz w:val="24"/>
                      <w:szCs w:val="24"/>
                    </w:rPr>
                  </w:pPr>
                  <w:r w:rsidRPr="0042572B">
                    <w:rPr>
                      <w:i/>
                      <w:sz w:val="24"/>
                      <w:szCs w:val="24"/>
                    </w:rPr>
                    <w:t>Nagaland, Kohima.</w:t>
                  </w:r>
                </w:p>
                <w:p w:rsidR="00DC1084" w:rsidRPr="0042572B" w:rsidRDefault="00DC1084" w:rsidP="00DC1084">
                  <w:pPr>
                    <w:jc w:val="center"/>
                    <w:rPr>
                      <w:sz w:val="24"/>
                      <w:szCs w:val="24"/>
                    </w:rPr>
                  </w:pPr>
                  <w:proofErr w:type="gramStart"/>
                  <w:r w:rsidRPr="0042572B">
                    <w:rPr>
                      <w:i/>
                      <w:sz w:val="24"/>
                      <w:szCs w:val="24"/>
                    </w:rPr>
                    <w:t>e-mail</w:t>
                  </w:r>
                  <w:proofErr w:type="gramEnd"/>
                  <w:r w:rsidRPr="0042572B">
                    <w:rPr>
                      <w:sz w:val="24"/>
                      <w:szCs w:val="24"/>
                    </w:rPr>
                    <w:t xml:space="preserve">: </w:t>
                  </w:r>
                  <w:hyperlink r:id="rId7" w:history="1">
                    <w:r w:rsidRPr="0042572B">
                      <w:rPr>
                        <w:sz w:val="24"/>
                        <w:szCs w:val="24"/>
                      </w:rPr>
                      <w:t>nerc_kohima@yahoo.com/</w:t>
                    </w:r>
                  </w:hyperlink>
                  <w:r w:rsidRPr="0042572B">
                    <w:rPr>
                      <w:i/>
                      <w:sz w:val="24"/>
                      <w:szCs w:val="24"/>
                    </w:rPr>
                    <w:t xml:space="preserve"> </w:t>
                  </w:r>
                  <w:r w:rsidRPr="0042572B">
                    <w:rPr>
                      <w:sz w:val="24"/>
                      <w:szCs w:val="24"/>
                    </w:rPr>
                    <w:t xml:space="preserve">website: </w:t>
                  </w:r>
                  <w:r w:rsidRPr="0042572B">
                    <w:rPr>
                      <w:i/>
                      <w:sz w:val="24"/>
                      <w:szCs w:val="24"/>
                    </w:rPr>
                    <w:t>www.nerc.org.in</w:t>
                  </w:r>
                </w:p>
                <w:p w:rsidR="00DC1084" w:rsidRDefault="00DC1084" w:rsidP="00DC1084">
                  <w:pPr>
                    <w:adjustRightInd w:val="0"/>
                    <w:ind w:left="3720"/>
                    <w:jc w:val="center"/>
                    <w:rPr>
                      <w:rFonts w:ascii="Arial" w:hAnsi="Arial" w:cs="Arial"/>
                      <w:b/>
                      <w:bCs/>
                      <w:sz w:val="28"/>
                      <w:szCs w:val="28"/>
                    </w:rPr>
                  </w:pPr>
                </w:p>
                <w:p w:rsidR="00DC1084" w:rsidRDefault="00DC1084" w:rsidP="00DC1084">
                  <w:pPr>
                    <w:adjustRightInd w:val="0"/>
                    <w:ind w:left="3720"/>
                    <w:jc w:val="center"/>
                    <w:rPr>
                      <w:rFonts w:ascii="Arial" w:hAnsi="Arial" w:cs="Arial"/>
                      <w:b/>
                      <w:bCs/>
                      <w:sz w:val="28"/>
                      <w:szCs w:val="28"/>
                    </w:rPr>
                  </w:pPr>
                </w:p>
                <w:p w:rsidR="00DC1084" w:rsidRDefault="00DC1084" w:rsidP="00DC1084">
                  <w:pPr>
                    <w:jc w:val="center"/>
                    <w:rPr>
                      <w:sz w:val="32"/>
                    </w:rPr>
                  </w:pPr>
                </w:p>
                <w:p w:rsidR="00DC1084" w:rsidRDefault="00DC1084" w:rsidP="00DC1084">
                  <w:pPr>
                    <w:jc w:val="center"/>
                    <w:rPr>
                      <w:sz w:val="32"/>
                    </w:rPr>
                  </w:pPr>
                </w:p>
                <w:p w:rsidR="00DC1084" w:rsidRDefault="00DC1084" w:rsidP="00DC1084">
                  <w:pPr>
                    <w:jc w:val="center"/>
                    <w:rPr>
                      <w:sz w:val="32"/>
                    </w:rPr>
                  </w:pPr>
                </w:p>
                <w:p w:rsidR="00DC1084" w:rsidRDefault="00DC1084" w:rsidP="00DC1084">
                  <w:pPr>
                    <w:jc w:val="center"/>
                    <w:rPr>
                      <w:sz w:val="32"/>
                    </w:rPr>
                  </w:pPr>
                </w:p>
                <w:p w:rsidR="00DC1084" w:rsidRDefault="00DC1084" w:rsidP="00DC1084">
                  <w:pPr>
                    <w:jc w:val="center"/>
                    <w:rPr>
                      <w:sz w:val="32"/>
                    </w:rPr>
                  </w:pPr>
                </w:p>
                <w:p w:rsidR="00DC1084" w:rsidRDefault="00DC1084" w:rsidP="00DC1084">
                  <w:pPr>
                    <w:jc w:val="center"/>
                    <w:rPr>
                      <w:sz w:val="32"/>
                    </w:rPr>
                  </w:pPr>
                </w:p>
                <w:p w:rsidR="00DC1084" w:rsidRDefault="00DC1084" w:rsidP="00DC1084">
                  <w:pPr>
                    <w:jc w:val="center"/>
                    <w:rPr>
                      <w:sz w:val="32"/>
                    </w:rPr>
                  </w:pPr>
                </w:p>
                <w:p w:rsidR="00DC1084" w:rsidRDefault="00DC1084" w:rsidP="00DC1084">
                  <w:pPr>
                    <w:jc w:val="center"/>
                    <w:rPr>
                      <w:sz w:val="32"/>
                    </w:rPr>
                  </w:pPr>
                </w:p>
                <w:p w:rsidR="00DC1084" w:rsidRDefault="00DC1084" w:rsidP="00DC1084">
                  <w:pPr>
                    <w:jc w:val="center"/>
                    <w:rPr>
                      <w:sz w:val="32"/>
                    </w:rPr>
                  </w:pPr>
                </w:p>
                <w:p w:rsidR="00DC1084" w:rsidRDefault="00DC1084" w:rsidP="00DC1084">
                  <w:pPr>
                    <w:jc w:val="center"/>
                    <w:rPr>
                      <w:sz w:val="32"/>
                    </w:rPr>
                  </w:pPr>
                </w:p>
                <w:p w:rsidR="00DC1084" w:rsidRDefault="00DC1084" w:rsidP="00DC1084">
                  <w:pPr>
                    <w:jc w:val="center"/>
                    <w:rPr>
                      <w:sz w:val="32"/>
                    </w:rPr>
                  </w:pPr>
                </w:p>
                <w:p w:rsidR="00DC1084" w:rsidRDefault="00DC1084" w:rsidP="00DC1084">
                  <w:pPr>
                    <w:jc w:val="center"/>
                    <w:rPr>
                      <w:sz w:val="32"/>
                    </w:rPr>
                  </w:pPr>
                </w:p>
                <w:p w:rsidR="00DC1084" w:rsidRDefault="00DC1084" w:rsidP="00DC1084">
                  <w:pPr>
                    <w:jc w:val="center"/>
                    <w:rPr>
                      <w:sz w:val="32"/>
                    </w:rPr>
                  </w:pPr>
                </w:p>
                <w:p w:rsidR="00DC1084" w:rsidRDefault="00DC1084" w:rsidP="00DC1084">
                  <w:pPr>
                    <w:jc w:val="center"/>
                    <w:rPr>
                      <w:sz w:val="32"/>
                    </w:rPr>
                  </w:pPr>
                </w:p>
                <w:p w:rsidR="00DC1084" w:rsidRPr="00012B04" w:rsidRDefault="00DC1084" w:rsidP="00DC1084">
                  <w:pPr>
                    <w:jc w:val="center"/>
                    <w:rPr>
                      <w:b/>
                      <w:sz w:val="32"/>
                    </w:rPr>
                  </w:pPr>
                  <w:r w:rsidRPr="00012B04">
                    <w:rPr>
                      <w:b/>
                      <w:sz w:val="32"/>
                    </w:rPr>
                    <w:t xml:space="preserve">Old MLA Hostel Complex, </w:t>
                  </w:r>
                  <w:proofErr w:type="gramStart"/>
                  <w:r w:rsidRPr="00012B04">
                    <w:rPr>
                      <w:b/>
                      <w:sz w:val="32"/>
                    </w:rPr>
                    <w:t>Nagaland :</w:t>
                  </w:r>
                  <w:proofErr w:type="gramEnd"/>
                  <w:r w:rsidRPr="00012B04">
                    <w:rPr>
                      <w:b/>
                      <w:sz w:val="32"/>
                    </w:rPr>
                    <w:t xml:space="preserve"> Kohima-797001</w:t>
                  </w:r>
                </w:p>
                <w:p w:rsidR="00DC1084" w:rsidRDefault="00DC1084" w:rsidP="00DC1084">
                  <w:pPr>
                    <w:jc w:val="center"/>
                    <w:rPr>
                      <w:sz w:val="32"/>
                    </w:rPr>
                  </w:pPr>
                  <w:r w:rsidRPr="00012B04">
                    <w:rPr>
                      <w:i/>
                      <w:sz w:val="32"/>
                    </w:rPr>
                    <w:t>Phone</w:t>
                  </w:r>
                  <w:r>
                    <w:rPr>
                      <w:sz w:val="32"/>
                    </w:rPr>
                    <w:t xml:space="preserve">: (0370) 2292101(O)/2241592 (R)/ </w:t>
                  </w:r>
                  <w:r w:rsidRPr="00012B04">
                    <w:rPr>
                      <w:i/>
                      <w:sz w:val="32"/>
                    </w:rPr>
                    <w:t>Fax</w:t>
                  </w:r>
                  <w:r>
                    <w:rPr>
                      <w:sz w:val="32"/>
                    </w:rPr>
                    <w:t>: 2292104(O)</w:t>
                  </w:r>
                </w:p>
                <w:p w:rsidR="00DC1084" w:rsidRPr="00012B04" w:rsidRDefault="00DC1084" w:rsidP="00DC1084">
                  <w:pPr>
                    <w:jc w:val="center"/>
                    <w:rPr>
                      <w:sz w:val="30"/>
                      <w:szCs w:val="30"/>
                    </w:rPr>
                  </w:pPr>
                  <w:proofErr w:type="gramStart"/>
                  <w:r w:rsidRPr="00012B04">
                    <w:rPr>
                      <w:sz w:val="30"/>
                      <w:szCs w:val="30"/>
                    </w:rPr>
                    <w:t>e-mail</w:t>
                  </w:r>
                  <w:proofErr w:type="gramEnd"/>
                  <w:r w:rsidRPr="00B16162">
                    <w:rPr>
                      <w:sz w:val="30"/>
                      <w:szCs w:val="30"/>
                    </w:rPr>
                    <w:t xml:space="preserve">: </w:t>
                  </w:r>
                  <w:hyperlink r:id="rId8" w:history="1">
                    <w:r w:rsidRPr="00B16162">
                      <w:rPr>
                        <w:rStyle w:val="Hyperlink"/>
                        <w:i/>
                        <w:sz w:val="30"/>
                        <w:szCs w:val="30"/>
                      </w:rPr>
                      <w:t>nerc_kohima@yahoo.com/</w:t>
                    </w:r>
                  </w:hyperlink>
                  <w:r w:rsidRPr="00012B04">
                    <w:rPr>
                      <w:sz w:val="30"/>
                      <w:szCs w:val="30"/>
                    </w:rPr>
                    <w:t xml:space="preserve"> website: </w:t>
                  </w:r>
                  <w:r w:rsidRPr="00012B04">
                    <w:rPr>
                      <w:i/>
                      <w:sz w:val="30"/>
                      <w:szCs w:val="30"/>
                    </w:rPr>
                    <w:t>www.nerc.org.in</w:t>
                  </w:r>
                </w:p>
              </w:txbxContent>
            </v:textbox>
          </v:roundrect>
        </w:pict>
      </w:r>
    </w:p>
    <w:p w:rsidR="000011E9" w:rsidRDefault="000011E9" w:rsidP="00C30076">
      <w:pPr>
        <w:spacing w:before="79"/>
        <w:ind w:right="857"/>
        <w:jc w:val="right"/>
        <w:rPr>
          <w:rFonts w:ascii="Times New Roman"/>
          <w:b/>
          <w:sz w:val="20"/>
        </w:rPr>
      </w:pPr>
    </w:p>
    <w:p w:rsidR="00C66E2A" w:rsidRDefault="00C66E2A" w:rsidP="008D4F58">
      <w:pPr>
        <w:spacing w:before="249"/>
        <w:ind w:right="59"/>
        <w:jc w:val="center"/>
        <w:rPr>
          <w:b/>
          <w:w w:val="115"/>
          <w:sz w:val="28"/>
        </w:rPr>
      </w:pPr>
    </w:p>
    <w:p w:rsidR="00DC1084" w:rsidRDefault="00DC1084" w:rsidP="008D4F58">
      <w:pPr>
        <w:spacing w:before="249"/>
        <w:ind w:right="59"/>
        <w:jc w:val="center"/>
        <w:rPr>
          <w:b/>
          <w:w w:val="115"/>
          <w:sz w:val="28"/>
        </w:rPr>
      </w:pPr>
    </w:p>
    <w:p w:rsidR="00DC1084" w:rsidRDefault="00DC1084" w:rsidP="008D4F58">
      <w:pPr>
        <w:spacing w:before="249"/>
        <w:ind w:right="59"/>
        <w:jc w:val="center"/>
        <w:rPr>
          <w:b/>
          <w:w w:val="115"/>
          <w:sz w:val="28"/>
        </w:rPr>
      </w:pPr>
    </w:p>
    <w:p w:rsidR="00DC1084" w:rsidRDefault="00DC1084" w:rsidP="008D4F58">
      <w:pPr>
        <w:spacing w:before="249"/>
        <w:ind w:right="59"/>
        <w:jc w:val="center"/>
        <w:rPr>
          <w:b/>
          <w:w w:val="115"/>
          <w:sz w:val="28"/>
        </w:rPr>
      </w:pPr>
    </w:p>
    <w:p w:rsidR="00DC1084" w:rsidRDefault="00DC1084" w:rsidP="008D4F58">
      <w:pPr>
        <w:spacing w:before="249"/>
        <w:ind w:right="59"/>
        <w:jc w:val="center"/>
        <w:rPr>
          <w:b/>
          <w:w w:val="115"/>
          <w:sz w:val="28"/>
        </w:rPr>
      </w:pPr>
    </w:p>
    <w:p w:rsidR="00DC1084" w:rsidRDefault="00DC1084" w:rsidP="008D4F58">
      <w:pPr>
        <w:spacing w:before="249"/>
        <w:ind w:right="59"/>
        <w:jc w:val="center"/>
        <w:rPr>
          <w:b/>
          <w:w w:val="115"/>
          <w:sz w:val="28"/>
        </w:rPr>
      </w:pPr>
    </w:p>
    <w:p w:rsidR="00DC1084" w:rsidRDefault="00DC1084" w:rsidP="008D4F58">
      <w:pPr>
        <w:spacing w:before="249"/>
        <w:ind w:right="59"/>
        <w:jc w:val="center"/>
        <w:rPr>
          <w:b/>
          <w:w w:val="115"/>
          <w:sz w:val="28"/>
        </w:rPr>
      </w:pPr>
    </w:p>
    <w:p w:rsidR="00DC1084" w:rsidRDefault="00DC1084" w:rsidP="008D4F58">
      <w:pPr>
        <w:spacing w:before="249"/>
        <w:ind w:right="59"/>
        <w:jc w:val="center"/>
        <w:rPr>
          <w:b/>
          <w:w w:val="115"/>
          <w:sz w:val="28"/>
        </w:rPr>
      </w:pPr>
    </w:p>
    <w:p w:rsidR="00DC1084" w:rsidRDefault="00DC1084" w:rsidP="008D4F58">
      <w:pPr>
        <w:spacing w:before="249"/>
        <w:ind w:right="59"/>
        <w:jc w:val="center"/>
        <w:rPr>
          <w:b/>
          <w:w w:val="115"/>
          <w:sz w:val="28"/>
        </w:rPr>
      </w:pPr>
    </w:p>
    <w:p w:rsidR="00DC1084" w:rsidRDefault="00DC1084" w:rsidP="008D4F58">
      <w:pPr>
        <w:spacing w:before="249"/>
        <w:ind w:right="59"/>
        <w:jc w:val="center"/>
        <w:rPr>
          <w:b/>
          <w:w w:val="115"/>
          <w:sz w:val="28"/>
        </w:rPr>
      </w:pPr>
    </w:p>
    <w:p w:rsidR="00DC1084" w:rsidRDefault="00DC1084" w:rsidP="008D4F58">
      <w:pPr>
        <w:spacing w:before="249"/>
        <w:ind w:right="59"/>
        <w:jc w:val="center"/>
        <w:rPr>
          <w:b/>
          <w:w w:val="115"/>
          <w:sz w:val="28"/>
        </w:rPr>
      </w:pPr>
    </w:p>
    <w:p w:rsidR="00DC1084" w:rsidRDefault="00DC1084" w:rsidP="008D4F58">
      <w:pPr>
        <w:spacing w:before="249"/>
        <w:ind w:right="59"/>
        <w:jc w:val="center"/>
        <w:rPr>
          <w:b/>
          <w:w w:val="115"/>
          <w:sz w:val="28"/>
        </w:rPr>
      </w:pPr>
    </w:p>
    <w:p w:rsidR="00DC1084" w:rsidRDefault="00DC1084" w:rsidP="008D4F58">
      <w:pPr>
        <w:spacing w:before="249"/>
        <w:ind w:right="59"/>
        <w:jc w:val="center"/>
        <w:rPr>
          <w:b/>
          <w:w w:val="115"/>
          <w:sz w:val="28"/>
        </w:rPr>
      </w:pPr>
    </w:p>
    <w:p w:rsidR="00DC1084" w:rsidRDefault="00DC1084" w:rsidP="008D4F58">
      <w:pPr>
        <w:spacing w:before="249"/>
        <w:ind w:right="59"/>
        <w:jc w:val="center"/>
        <w:rPr>
          <w:b/>
          <w:w w:val="115"/>
          <w:sz w:val="28"/>
        </w:rPr>
      </w:pPr>
    </w:p>
    <w:p w:rsidR="00DC1084" w:rsidRDefault="00DC1084" w:rsidP="008D4F58">
      <w:pPr>
        <w:spacing w:before="249"/>
        <w:ind w:right="59"/>
        <w:jc w:val="center"/>
        <w:rPr>
          <w:b/>
          <w:w w:val="115"/>
          <w:sz w:val="28"/>
        </w:rPr>
      </w:pPr>
    </w:p>
    <w:p w:rsidR="00DC1084" w:rsidRDefault="00DC1084" w:rsidP="008D4F58">
      <w:pPr>
        <w:spacing w:before="249"/>
        <w:ind w:right="59"/>
        <w:jc w:val="center"/>
        <w:rPr>
          <w:b/>
          <w:w w:val="115"/>
          <w:sz w:val="28"/>
        </w:rPr>
      </w:pPr>
    </w:p>
    <w:p w:rsidR="00DC1084" w:rsidRDefault="00DC1084" w:rsidP="008D4F58">
      <w:pPr>
        <w:spacing w:before="249"/>
        <w:ind w:right="59"/>
        <w:jc w:val="center"/>
        <w:rPr>
          <w:b/>
          <w:w w:val="115"/>
          <w:sz w:val="28"/>
        </w:rPr>
      </w:pPr>
    </w:p>
    <w:p w:rsidR="00DC1084" w:rsidRDefault="00DC1084" w:rsidP="008D4F58">
      <w:pPr>
        <w:spacing w:before="249"/>
        <w:ind w:right="59"/>
        <w:jc w:val="center"/>
        <w:rPr>
          <w:b/>
          <w:w w:val="115"/>
          <w:sz w:val="28"/>
        </w:rPr>
      </w:pPr>
    </w:p>
    <w:p w:rsidR="00DC1084" w:rsidRDefault="00DC1084" w:rsidP="008D4F58">
      <w:pPr>
        <w:spacing w:before="249"/>
        <w:ind w:right="59"/>
        <w:jc w:val="center"/>
        <w:rPr>
          <w:b/>
          <w:w w:val="115"/>
          <w:sz w:val="28"/>
        </w:rPr>
      </w:pPr>
    </w:p>
    <w:p w:rsidR="00DC1084" w:rsidRDefault="00DC1084" w:rsidP="008D4F58">
      <w:pPr>
        <w:spacing w:before="249"/>
        <w:ind w:right="59"/>
        <w:jc w:val="center"/>
        <w:rPr>
          <w:b/>
          <w:w w:val="115"/>
          <w:sz w:val="28"/>
        </w:rPr>
      </w:pPr>
    </w:p>
    <w:p w:rsidR="00DC1084" w:rsidRDefault="00DC1084" w:rsidP="008D4F58">
      <w:pPr>
        <w:spacing w:before="249"/>
        <w:ind w:right="59"/>
        <w:jc w:val="center"/>
        <w:rPr>
          <w:b/>
          <w:w w:val="115"/>
          <w:sz w:val="28"/>
        </w:rPr>
      </w:pPr>
    </w:p>
    <w:p w:rsidR="000011E9" w:rsidRPr="0042572B" w:rsidRDefault="00C30076" w:rsidP="008D4F58">
      <w:pPr>
        <w:spacing w:before="249"/>
        <w:ind w:right="59"/>
        <w:jc w:val="center"/>
        <w:rPr>
          <w:b/>
          <w:sz w:val="30"/>
          <w:szCs w:val="30"/>
        </w:rPr>
      </w:pPr>
      <w:r w:rsidRPr="0042572B">
        <w:rPr>
          <w:b/>
          <w:w w:val="115"/>
          <w:sz w:val="30"/>
          <w:szCs w:val="30"/>
        </w:rPr>
        <w:t>NAGALAND</w:t>
      </w:r>
      <w:r w:rsidR="0058769F" w:rsidRPr="0042572B">
        <w:rPr>
          <w:b/>
          <w:spacing w:val="-7"/>
          <w:w w:val="115"/>
          <w:sz w:val="30"/>
          <w:szCs w:val="30"/>
        </w:rPr>
        <w:t xml:space="preserve"> </w:t>
      </w:r>
      <w:r w:rsidR="0058769F" w:rsidRPr="0042572B">
        <w:rPr>
          <w:b/>
          <w:w w:val="115"/>
          <w:sz w:val="30"/>
          <w:szCs w:val="30"/>
        </w:rPr>
        <w:t>ELECTRICITY</w:t>
      </w:r>
      <w:r w:rsidR="0058769F" w:rsidRPr="0042572B">
        <w:rPr>
          <w:b/>
          <w:spacing w:val="-5"/>
          <w:w w:val="115"/>
          <w:sz w:val="30"/>
          <w:szCs w:val="30"/>
        </w:rPr>
        <w:t xml:space="preserve"> </w:t>
      </w:r>
      <w:r w:rsidR="0058769F" w:rsidRPr="0042572B">
        <w:rPr>
          <w:b/>
          <w:w w:val="115"/>
          <w:sz w:val="30"/>
          <w:szCs w:val="30"/>
        </w:rPr>
        <w:t>REGULATORY</w:t>
      </w:r>
      <w:r w:rsidR="0058769F" w:rsidRPr="0042572B">
        <w:rPr>
          <w:b/>
          <w:spacing w:val="-5"/>
          <w:w w:val="115"/>
          <w:sz w:val="30"/>
          <w:szCs w:val="30"/>
        </w:rPr>
        <w:t xml:space="preserve"> </w:t>
      </w:r>
      <w:r w:rsidR="0058769F" w:rsidRPr="0042572B">
        <w:rPr>
          <w:b/>
          <w:w w:val="115"/>
          <w:sz w:val="30"/>
          <w:szCs w:val="30"/>
        </w:rPr>
        <w:t>COMMISSION</w:t>
      </w:r>
    </w:p>
    <w:p w:rsidR="000011E9" w:rsidRDefault="000011E9">
      <w:pPr>
        <w:pStyle w:val="BodyText"/>
        <w:rPr>
          <w:b/>
          <w:sz w:val="32"/>
        </w:rPr>
      </w:pPr>
    </w:p>
    <w:p w:rsidR="000011E9" w:rsidRDefault="000011E9">
      <w:pPr>
        <w:pStyle w:val="BodyText"/>
        <w:spacing w:before="3"/>
        <w:rPr>
          <w:b/>
          <w:sz w:val="38"/>
        </w:rPr>
      </w:pPr>
    </w:p>
    <w:p w:rsidR="00F53778" w:rsidRPr="00BE3F19" w:rsidRDefault="00F53778" w:rsidP="00F53778">
      <w:pPr>
        <w:ind w:right="-180"/>
        <w:jc w:val="center"/>
        <w:rPr>
          <w:b/>
          <w:sz w:val="36"/>
          <w:szCs w:val="36"/>
        </w:rPr>
      </w:pPr>
      <w:r w:rsidRPr="00BE3F19">
        <w:rPr>
          <w:b/>
          <w:sz w:val="36"/>
          <w:szCs w:val="36"/>
        </w:rPr>
        <w:lastRenderedPageBreak/>
        <w:t>NAGALAND ELECTRICITY REGULATORY COMMISSION</w:t>
      </w:r>
    </w:p>
    <w:p w:rsidR="00F53778" w:rsidRDefault="00F53778">
      <w:pPr>
        <w:pStyle w:val="BodyText"/>
        <w:spacing w:before="3"/>
        <w:rPr>
          <w:b/>
          <w:sz w:val="38"/>
        </w:rPr>
      </w:pPr>
    </w:p>
    <w:p w:rsidR="00F53778" w:rsidRDefault="00F53778" w:rsidP="0042572B">
      <w:pPr>
        <w:tabs>
          <w:tab w:val="left" w:pos="7807"/>
        </w:tabs>
        <w:ind w:left="101"/>
        <w:jc w:val="both"/>
        <w:rPr>
          <w:rFonts w:asciiTheme="minorHAnsi" w:hAnsiTheme="minorHAnsi" w:cstheme="minorHAnsi"/>
          <w:spacing w:val="-2"/>
          <w:w w:val="105"/>
          <w:sz w:val="24"/>
          <w:szCs w:val="24"/>
        </w:rPr>
      </w:pPr>
    </w:p>
    <w:p w:rsidR="00F53778" w:rsidRDefault="00F53778" w:rsidP="0042572B">
      <w:pPr>
        <w:tabs>
          <w:tab w:val="left" w:pos="7807"/>
        </w:tabs>
        <w:ind w:left="101"/>
        <w:jc w:val="both"/>
        <w:rPr>
          <w:rFonts w:asciiTheme="minorHAnsi" w:hAnsiTheme="minorHAnsi" w:cstheme="minorHAnsi"/>
          <w:spacing w:val="-2"/>
          <w:w w:val="105"/>
          <w:sz w:val="24"/>
          <w:szCs w:val="24"/>
        </w:rPr>
      </w:pPr>
    </w:p>
    <w:p w:rsidR="0042572B" w:rsidRPr="006E36C8" w:rsidRDefault="0042572B" w:rsidP="0042572B">
      <w:pPr>
        <w:tabs>
          <w:tab w:val="left" w:pos="7807"/>
        </w:tabs>
        <w:ind w:left="101"/>
        <w:jc w:val="both"/>
        <w:rPr>
          <w:rFonts w:asciiTheme="minorHAnsi" w:hAnsiTheme="minorHAnsi" w:cstheme="minorHAnsi"/>
          <w:sz w:val="24"/>
          <w:szCs w:val="24"/>
        </w:rPr>
      </w:pPr>
      <w:proofErr w:type="spellStart"/>
      <w:r w:rsidRPr="006E36C8">
        <w:rPr>
          <w:rFonts w:asciiTheme="minorHAnsi" w:hAnsiTheme="minorHAnsi" w:cstheme="minorHAnsi"/>
          <w:spacing w:val="-2"/>
          <w:w w:val="105"/>
          <w:sz w:val="24"/>
          <w:szCs w:val="24"/>
        </w:rPr>
        <w:t>No.NERC</w:t>
      </w:r>
      <w:proofErr w:type="spellEnd"/>
      <w:r w:rsidRPr="006E36C8">
        <w:rPr>
          <w:rFonts w:asciiTheme="minorHAnsi" w:hAnsiTheme="minorHAnsi" w:cstheme="minorHAnsi"/>
          <w:spacing w:val="-2"/>
          <w:w w:val="105"/>
          <w:sz w:val="24"/>
          <w:szCs w:val="24"/>
        </w:rPr>
        <w:t>/REGN/T-15/</w:t>
      </w:r>
      <w:proofErr w:type="gramStart"/>
      <w:r w:rsidRPr="006E36C8">
        <w:rPr>
          <w:rFonts w:asciiTheme="minorHAnsi" w:hAnsiTheme="minorHAnsi" w:cstheme="minorHAnsi"/>
          <w:spacing w:val="-2"/>
          <w:w w:val="105"/>
          <w:sz w:val="24"/>
          <w:szCs w:val="24"/>
        </w:rPr>
        <w:t>2021(</w:t>
      </w:r>
      <w:proofErr w:type="gramEnd"/>
      <w:r w:rsidRPr="006E36C8">
        <w:rPr>
          <w:rFonts w:asciiTheme="minorHAnsi" w:hAnsiTheme="minorHAnsi" w:cstheme="minorHAnsi"/>
          <w:spacing w:val="-2"/>
          <w:w w:val="105"/>
          <w:sz w:val="24"/>
          <w:szCs w:val="24"/>
        </w:rPr>
        <w:t>Part-II)</w:t>
      </w:r>
      <w:r w:rsidRPr="006E36C8">
        <w:rPr>
          <w:rFonts w:asciiTheme="minorHAnsi" w:hAnsiTheme="minorHAnsi" w:cstheme="minorHAnsi"/>
          <w:sz w:val="24"/>
          <w:szCs w:val="24"/>
        </w:rPr>
        <w:tab/>
      </w:r>
      <w:r w:rsidRPr="006E36C8">
        <w:rPr>
          <w:rFonts w:asciiTheme="minorHAnsi" w:hAnsiTheme="minorHAnsi" w:cstheme="minorHAnsi"/>
          <w:spacing w:val="-2"/>
          <w:w w:val="105"/>
          <w:sz w:val="24"/>
          <w:szCs w:val="24"/>
        </w:rPr>
        <w:t>Date</w:t>
      </w:r>
      <w:r w:rsidR="00742A5C">
        <w:rPr>
          <w:rFonts w:asciiTheme="minorHAnsi" w:hAnsiTheme="minorHAnsi" w:cstheme="minorHAnsi"/>
          <w:spacing w:val="-2"/>
          <w:w w:val="105"/>
          <w:sz w:val="24"/>
          <w:szCs w:val="24"/>
        </w:rPr>
        <w:t>d: 30-09-2024</w:t>
      </w:r>
    </w:p>
    <w:p w:rsidR="000011E9" w:rsidRDefault="000011E9">
      <w:pPr>
        <w:pStyle w:val="BodyText"/>
        <w:rPr>
          <w:sz w:val="26"/>
        </w:rPr>
      </w:pPr>
    </w:p>
    <w:p w:rsidR="000011E9" w:rsidRDefault="000011E9">
      <w:pPr>
        <w:pStyle w:val="BodyText"/>
        <w:spacing w:before="2"/>
        <w:rPr>
          <w:sz w:val="25"/>
        </w:rPr>
      </w:pPr>
    </w:p>
    <w:p w:rsidR="000011E9" w:rsidRPr="006E36C8" w:rsidRDefault="0058769F">
      <w:pPr>
        <w:pStyle w:val="Heading1"/>
        <w:ind w:left="1196"/>
        <w:rPr>
          <w:u w:val="single"/>
        </w:rPr>
      </w:pPr>
      <w:r w:rsidRPr="006E36C8">
        <w:rPr>
          <w:u w:val="single"/>
        </w:rPr>
        <w:t>NOTIFICATION</w:t>
      </w:r>
    </w:p>
    <w:p w:rsidR="000011E9" w:rsidRPr="0042572B" w:rsidRDefault="0058769F">
      <w:pPr>
        <w:pStyle w:val="BodyText"/>
        <w:spacing w:before="199" w:line="391" w:lineRule="auto"/>
        <w:ind w:left="153" w:right="268"/>
        <w:jc w:val="both"/>
        <w:rPr>
          <w:rFonts w:asciiTheme="minorHAnsi" w:hAnsiTheme="minorHAnsi" w:cstheme="minorHAnsi"/>
          <w:sz w:val="24"/>
          <w:szCs w:val="24"/>
        </w:rPr>
      </w:pPr>
      <w:r w:rsidRPr="0042572B">
        <w:rPr>
          <w:rFonts w:asciiTheme="minorHAnsi" w:hAnsiTheme="minorHAnsi" w:cstheme="minorHAnsi"/>
          <w:w w:val="105"/>
          <w:sz w:val="24"/>
          <w:szCs w:val="24"/>
        </w:rPr>
        <w:t>In</w:t>
      </w:r>
      <w:r w:rsidRPr="0042572B">
        <w:rPr>
          <w:rFonts w:asciiTheme="minorHAnsi" w:hAnsiTheme="minorHAnsi" w:cstheme="minorHAnsi"/>
          <w:spacing w:val="1"/>
          <w:w w:val="105"/>
          <w:sz w:val="24"/>
          <w:szCs w:val="24"/>
        </w:rPr>
        <w:t xml:space="preserve"> </w:t>
      </w:r>
      <w:r w:rsidRPr="0042572B">
        <w:rPr>
          <w:rFonts w:asciiTheme="minorHAnsi" w:hAnsiTheme="minorHAnsi" w:cstheme="minorHAnsi"/>
          <w:w w:val="105"/>
          <w:sz w:val="24"/>
          <w:szCs w:val="24"/>
        </w:rPr>
        <w:t>exercise</w:t>
      </w:r>
      <w:r w:rsidRPr="0042572B">
        <w:rPr>
          <w:rFonts w:asciiTheme="minorHAnsi" w:hAnsiTheme="minorHAnsi" w:cstheme="minorHAnsi"/>
          <w:spacing w:val="1"/>
          <w:w w:val="105"/>
          <w:sz w:val="24"/>
          <w:szCs w:val="24"/>
        </w:rPr>
        <w:t xml:space="preserve"> </w:t>
      </w:r>
      <w:r w:rsidRPr="0042572B">
        <w:rPr>
          <w:rFonts w:asciiTheme="minorHAnsi" w:hAnsiTheme="minorHAnsi" w:cstheme="minorHAnsi"/>
          <w:w w:val="105"/>
          <w:sz w:val="24"/>
          <w:szCs w:val="24"/>
        </w:rPr>
        <w:t>of</w:t>
      </w:r>
      <w:r w:rsidRPr="0042572B">
        <w:rPr>
          <w:rFonts w:asciiTheme="minorHAnsi" w:hAnsiTheme="minorHAnsi" w:cstheme="minorHAnsi"/>
          <w:spacing w:val="1"/>
          <w:w w:val="105"/>
          <w:sz w:val="24"/>
          <w:szCs w:val="24"/>
        </w:rPr>
        <w:t xml:space="preserve"> </w:t>
      </w:r>
      <w:r w:rsidRPr="0042572B">
        <w:rPr>
          <w:rFonts w:asciiTheme="minorHAnsi" w:hAnsiTheme="minorHAnsi" w:cstheme="minorHAnsi"/>
          <w:w w:val="105"/>
          <w:sz w:val="24"/>
          <w:szCs w:val="24"/>
        </w:rPr>
        <w:t>the</w:t>
      </w:r>
      <w:r w:rsidRPr="0042572B">
        <w:rPr>
          <w:rFonts w:asciiTheme="minorHAnsi" w:hAnsiTheme="minorHAnsi" w:cstheme="minorHAnsi"/>
          <w:spacing w:val="1"/>
          <w:w w:val="105"/>
          <w:sz w:val="24"/>
          <w:szCs w:val="24"/>
        </w:rPr>
        <w:t xml:space="preserve"> </w:t>
      </w:r>
      <w:r w:rsidRPr="0042572B">
        <w:rPr>
          <w:rFonts w:asciiTheme="minorHAnsi" w:hAnsiTheme="minorHAnsi" w:cstheme="minorHAnsi"/>
          <w:w w:val="105"/>
          <w:sz w:val="24"/>
          <w:szCs w:val="24"/>
        </w:rPr>
        <w:t>powers</w:t>
      </w:r>
      <w:r w:rsidRPr="0042572B">
        <w:rPr>
          <w:rFonts w:asciiTheme="minorHAnsi" w:hAnsiTheme="minorHAnsi" w:cstheme="minorHAnsi"/>
          <w:spacing w:val="1"/>
          <w:w w:val="105"/>
          <w:sz w:val="24"/>
          <w:szCs w:val="24"/>
        </w:rPr>
        <w:t xml:space="preserve"> </w:t>
      </w:r>
      <w:r w:rsidRPr="0042572B">
        <w:rPr>
          <w:rFonts w:asciiTheme="minorHAnsi" w:hAnsiTheme="minorHAnsi" w:cstheme="minorHAnsi"/>
          <w:w w:val="105"/>
          <w:sz w:val="24"/>
          <w:szCs w:val="24"/>
        </w:rPr>
        <w:t>conferred</w:t>
      </w:r>
      <w:r w:rsidRPr="0042572B">
        <w:rPr>
          <w:rFonts w:asciiTheme="minorHAnsi" w:hAnsiTheme="minorHAnsi" w:cstheme="minorHAnsi"/>
          <w:spacing w:val="1"/>
          <w:w w:val="105"/>
          <w:sz w:val="24"/>
          <w:szCs w:val="24"/>
        </w:rPr>
        <w:t xml:space="preserve"> </w:t>
      </w:r>
      <w:r w:rsidRPr="0042572B">
        <w:rPr>
          <w:rFonts w:asciiTheme="minorHAnsi" w:hAnsiTheme="minorHAnsi" w:cstheme="minorHAnsi"/>
          <w:w w:val="105"/>
          <w:sz w:val="24"/>
          <w:szCs w:val="24"/>
        </w:rPr>
        <w:t>under</w:t>
      </w:r>
      <w:r w:rsidRPr="0042572B">
        <w:rPr>
          <w:rFonts w:asciiTheme="minorHAnsi" w:hAnsiTheme="minorHAnsi" w:cstheme="minorHAnsi"/>
          <w:spacing w:val="1"/>
          <w:w w:val="105"/>
          <w:sz w:val="24"/>
          <w:szCs w:val="24"/>
        </w:rPr>
        <w:t xml:space="preserve"> </w:t>
      </w:r>
      <w:r w:rsidRPr="0042572B">
        <w:rPr>
          <w:rFonts w:asciiTheme="minorHAnsi" w:hAnsiTheme="minorHAnsi" w:cstheme="minorHAnsi"/>
          <w:w w:val="105"/>
          <w:sz w:val="24"/>
          <w:szCs w:val="24"/>
        </w:rPr>
        <w:t>section</w:t>
      </w:r>
      <w:r w:rsidRPr="0042572B">
        <w:rPr>
          <w:rFonts w:asciiTheme="minorHAnsi" w:hAnsiTheme="minorHAnsi" w:cstheme="minorHAnsi"/>
          <w:spacing w:val="1"/>
          <w:w w:val="105"/>
          <w:sz w:val="24"/>
          <w:szCs w:val="24"/>
        </w:rPr>
        <w:t xml:space="preserve"> </w:t>
      </w:r>
      <w:r w:rsidRPr="0042572B">
        <w:rPr>
          <w:rFonts w:asciiTheme="minorHAnsi" w:hAnsiTheme="minorHAnsi" w:cstheme="minorHAnsi"/>
          <w:w w:val="105"/>
          <w:sz w:val="24"/>
          <w:szCs w:val="24"/>
        </w:rPr>
        <w:t>181</w:t>
      </w:r>
      <w:r w:rsidRPr="0042572B">
        <w:rPr>
          <w:rFonts w:asciiTheme="minorHAnsi" w:hAnsiTheme="minorHAnsi" w:cstheme="minorHAnsi"/>
          <w:spacing w:val="1"/>
          <w:w w:val="105"/>
          <w:sz w:val="24"/>
          <w:szCs w:val="24"/>
        </w:rPr>
        <w:t xml:space="preserve"> </w:t>
      </w:r>
      <w:r w:rsidRPr="0042572B">
        <w:rPr>
          <w:rFonts w:asciiTheme="minorHAnsi" w:hAnsiTheme="minorHAnsi" w:cstheme="minorHAnsi"/>
          <w:w w:val="105"/>
          <w:sz w:val="24"/>
          <w:szCs w:val="24"/>
        </w:rPr>
        <w:t>of</w:t>
      </w:r>
      <w:r w:rsidRPr="0042572B">
        <w:rPr>
          <w:rFonts w:asciiTheme="minorHAnsi" w:hAnsiTheme="minorHAnsi" w:cstheme="minorHAnsi"/>
          <w:spacing w:val="1"/>
          <w:w w:val="105"/>
          <w:sz w:val="24"/>
          <w:szCs w:val="24"/>
        </w:rPr>
        <w:t xml:space="preserve"> </w:t>
      </w:r>
      <w:r w:rsidRPr="0042572B">
        <w:rPr>
          <w:rFonts w:asciiTheme="minorHAnsi" w:hAnsiTheme="minorHAnsi" w:cstheme="minorHAnsi"/>
          <w:w w:val="105"/>
          <w:sz w:val="24"/>
          <w:szCs w:val="24"/>
        </w:rPr>
        <w:t>the  Electricity  Act, 2003  (36  of</w:t>
      </w:r>
      <w:r w:rsidRPr="0042572B">
        <w:rPr>
          <w:rFonts w:asciiTheme="minorHAnsi" w:hAnsiTheme="minorHAnsi" w:cstheme="minorHAnsi"/>
          <w:spacing w:val="1"/>
          <w:w w:val="105"/>
          <w:sz w:val="24"/>
          <w:szCs w:val="24"/>
        </w:rPr>
        <w:t xml:space="preserve"> </w:t>
      </w:r>
      <w:r w:rsidRPr="0042572B">
        <w:rPr>
          <w:rFonts w:asciiTheme="minorHAnsi" w:hAnsiTheme="minorHAnsi" w:cstheme="minorHAnsi"/>
          <w:w w:val="105"/>
          <w:sz w:val="24"/>
          <w:szCs w:val="24"/>
        </w:rPr>
        <w:t>2003),</w:t>
      </w:r>
      <w:r w:rsidRPr="0042572B">
        <w:rPr>
          <w:rFonts w:asciiTheme="minorHAnsi" w:hAnsiTheme="minorHAnsi" w:cstheme="minorHAnsi"/>
          <w:spacing w:val="-6"/>
          <w:w w:val="105"/>
          <w:sz w:val="24"/>
          <w:szCs w:val="24"/>
        </w:rPr>
        <w:t xml:space="preserve"> </w:t>
      </w:r>
      <w:r w:rsidRPr="0042572B">
        <w:rPr>
          <w:rFonts w:asciiTheme="minorHAnsi" w:hAnsiTheme="minorHAnsi" w:cstheme="minorHAnsi"/>
          <w:w w:val="105"/>
          <w:sz w:val="24"/>
          <w:szCs w:val="24"/>
        </w:rPr>
        <w:t>read</w:t>
      </w:r>
      <w:r w:rsidRPr="0042572B">
        <w:rPr>
          <w:rFonts w:asciiTheme="minorHAnsi" w:hAnsiTheme="minorHAnsi" w:cstheme="minorHAnsi"/>
          <w:spacing w:val="-8"/>
          <w:w w:val="105"/>
          <w:sz w:val="24"/>
          <w:szCs w:val="24"/>
        </w:rPr>
        <w:t xml:space="preserve"> </w:t>
      </w:r>
      <w:r w:rsidRPr="0042572B">
        <w:rPr>
          <w:rFonts w:asciiTheme="minorHAnsi" w:hAnsiTheme="minorHAnsi" w:cstheme="minorHAnsi"/>
          <w:w w:val="105"/>
          <w:sz w:val="24"/>
          <w:szCs w:val="24"/>
        </w:rPr>
        <w:t>with</w:t>
      </w:r>
      <w:r w:rsidRPr="0042572B">
        <w:rPr>
          <w:rFonts w:asciiTheme="minorHAnsi" w:hAnsiTheme="minorHAnsi" w:cstheme="minorHAnsi"/>
          <w:spacing w:val="-8"/>
          <w:w w:val="105"/>
          <w:sz w:val="24"/>
          <w:szCs w:val="24"/>
        </w:rPr>
        <w:t xml:space="preserve"> </w:t>
      </w:r>
      <w:r w:rsidRPr="0042572B">
        <w:rPr>
          <w:rFonts w:asciiTheme="minorHAnsi" w:hAnsiTheme="minorHAnsi" w:cstheme="minorHAnsi"/>
          <w:w w:val="105"/>
          <w:sz w:val="24"/>
          <w:szCs w:val="24"/>
        </w:rPr>
        <w:t>section</w:t>
      </w:r>
      <w:r w:rsidRPr="0042572B">
        <w:rPr>
          <w:rFonts w:asciiTheme="minorHAnsi" w:hAnsiTheme="minorHAnsi" w:cstheme="minorHAnsi"/>
          <w:spacing w:val="-11"/>
          <w:w w:val="105"/>
          <w:sz w:val="24"/>
          <w:szCs w:val="24"/>
        </w:rPr>
        <w:t xml:space="preserve"> </w:t>
      </w:r>
      <w:r w:rsidRPr="0042572B">
        <w:rPr>
          <w:rFonts w:asciiTheme="minorHAnsi" w:hAnsiTheme="minorHAnsi" w:cstheme="minorHAnsi"/>
          <w:w w:val="105"/>
          <w:sz w:val="24"/>
          <w:szCs w:val="24"/>
        </w:rPr>
        <w:t>42,</w:t>
      </w:r>
      <w:r w:rsidRPr="0042572B">
        <w:rPr>
          <w:rFonts w:asciiTheme="minorHAnsi" w:hAnsiTheme="minorHAnsi" w:cstheme="minorHAnsi"/>
          <w:spacing w:val="-8"/>
          <w:w w:val="105"/>
          <w:sz w:val="24"/>
          <w:szCs w:val="24"/>
        </w:rPr>
        <w:t xml:space="preserve"> </w:t>
      </w:r>
      <w:r w:rsidRPr="0042572B">
        <w:rPr>
          <w:rFonts w:asciiTheme="minorHAnsi" w:hAnsiTheme="minorHAnsi" w:cstheme="minorHAnsi"/>
          <w:w w:val="105"/>
          <w:sz w:val="24"/>
          <w:szCs w:val="24"/>
        </w:rPr>
        <w:t>section</w:t>
      </w:r>
      <w:r w:rsidRPr="0042572B">
        <w:rPr>
          <w:rFonts w:asciiTheme="minorHAnsi" w:hAnsiTheme="minorHAnsi" w:cstheme="minorHAnsi"/>
          <w:spacing w:val="-9"/>
          <w:w w:val="105"/>
          <w:sz w:val="24"/>
          <w:szCs w:val="24"/>
        </w:rPr>
        <w:t xml:space="preserve"> </w:t>
      </w:r>
      <w:r w:rsidRPr="0042572B">
        <w:rPr>
          <w:rFonts w:asciiTheme="minorHAnsi" w:hAnsiTheme="minorHAnsi" w:cstheme="minorHAnsi"/>
          <w:w w:val="105"/>
          <w:sz w:val="24"/>
          <w:szCs w:val="24"/>
        </w:rPr>
        <w:t>61</w:t>
      </w:r>
      <w:r w:rsidRPr="0042572B">
        <w:rPr>
          <w:rFonts w:asciiTheme="minorHAnsi" w:hAnsiTheme="minorHAnsi" w:cstheme="minorHAnsi"/>
          <w:spacing w:val="-8"/>
          <w:w w:val="105"/>
          <w:sz w:val="24"/>
          <w:szCs w:val="24"/>
        </w:rPr>
        <w:t xml:space="preserve"> </w:t>
      </w:r>
      <w:r w:rsidRPr="0042572B">
        <w:rPr>
          <w:rFonts w:asciiTheme="minorHAnsi" w:hAnsiTheme="minorHAnsi" w:cstheme="minorHAnsi"/>
          <w:w w:val="105"/>
          <w:sz w:val="24"/>
          <w:szCs w:val="24"/>
        </w:rPr>
        <w:t>and</w:t>
      </w:r>
      <w:r w:rsidRPr="0042572B">
        <w:rPr>
          <w:rFonts w:asciiTheme="minorHAnsi" w:hAnsiTheme="minorHAnsi" w:cstheme="minorHAnsi"/>
          <w:spacing w:val="-9"/>
          <w:w w:val="105"/>
          <w:sz w:val="24"/>
          <w:szCs w:val="24"/>
        </w:rPr>
        <w:t xml:space="preserve"> </w:t>
      </w:r>
      <w:r w:rsidRPr="0042572B">
        <w:rPr>
          <w:rFonts w:asciiTheme="minorHAnsi" w:hAnsiTheme="minorHAnsi" w:cstheme="minorHAnsi"/>
          <w:w w:val="105"/>
          <w:sz w:val="24"/>
          <w:szCs w:val="24"/>
        </w:rPr>
        <w:t>section</w:t>
      </w:r>
      <w:r w:rsidRPr="0042572B">
        <w:rPr>
          <w:rFonts w:asciiTheme="minorHAnsi" w:hAnsiTheme="minorHAnsi" w:cstheme="minorHAnsi"/>
          <w:spacing w:val="-9"/>
          <w:w w:val="105"/>
          <w:sz w:val="24"/>
          <w:szCs w:val="24"/>
        </w:rPr>
        <w:t xml:space="preserve"> </w:t>
      </w:r>
      <w:r w:rsidRPr="0042572B">
        <w:rPr>
          <w:rFonts w:asciiTheme="minorHAnsi" w:hAnsiTheme="minorHAnsi" w:cstheme="minorHAnsi"/>
          <w:w w:val="105"/>
          <w:sz w:val="24"/>
          <w:szCs w:val="24"/>
        </w:rPr>
        <w:t>86</w:t>
      </w:r>
      <w:r w:rsidRPr="0042572B">
        <w:rPr>
          <w:rFonts w:asciiTheme="minorHAnsi" w:hAnsiTheme="minorHAnsi" w:cstheme="minorHAnsi"/>
          <w:spacing w:val="-8"/>
          <w:w w:val="105"/>
          <w:sz w:val="24"/>
          <w:szCs w:val="24"/>
        </w:rPr>
        <w:t xml:space="preserve"> </w:t>
      </w:r>
      <w:r w:rsidRPr="0042572B">
        <w:rPr>
          <w:rFonts w:asciiTheme="minorHAnsi" w:hAnsiTheme="minorHAnsi" w:cstheme="minorHAnsi"/>
          <w:w w:val="105"/>
          <w:sz w:val="24"/>
          <w:szCs w:val="24"/>
        </w:rPr>
        <w:t>thereof</w:t>
      </w:r>
      <w:r w:rsidRPr="0042572B">
        <w:rPr>
          <w:rFonts w:asciiTheme="minorHAnsi" w:hAnsiTheme="minorHAnsi" w:cstheme="minorHAnsi"/>
          <w:spacing w:val="-5"/>
          <w:w w:val="105"/>
          <w:sz w:val="24"/>
          <w:szCs w:val="24"/>
        </w:rPr>
        <w:t xml:space="preserve"> </w:t>
      </w:r>
      <w:r w:rsidRPr="0042572B">
        <w:rPr>
          <w:rFonts w:asciiTheme="minorHAnsi" w:hAnsiTheme="minorHAnsi" w:cstheme="minorHAnsi"/>
          <w:w w:val="105"/>
          <w:sz w:val="24"/>
          <w:szCs w:val="24"/>
        </w:rPr>
        <w:t>and</w:t>
      </w:r>
      <w:r w:rsidRPr="0042572B">
        <w:rPr>
          <w:rFonts w:asciiTheme="minorHAnsi" w:hAnsiTheme="minorHAnsi" w:cstheme="minorHAnsi"/>
          <w:spacing w:val="-7"/>
          <w:w w:val="105"/>
          <w:sz w:val="24"/>
          <w:szCs w:val="24"/>
        </w:rPr>
        <w:t xml:space="preserve"> </w:t>
      </w:r>
      <w:r w:rsidRPr="0042572B">
        <w:rPr>
          <w:rFonts w:asciiTheme="minorHAnsi" w:hAnsiTheme="minorHAnsi" w:cstheme="minorHAnsi"/>
          <w:w w:val="105"/>
          <w:sz w:val="24"/>
          <w:szCs w:val="24"/>
        </w:rPr>
        <w:t>all</w:t>
      </w:r>
      <w:r w:rsidRPr="0042572B">
        <w:rPr>
          <w:rFonts w:asciiTheme="minorHAnsi" w:hAnsiTheme="minorHAnsi" w:cstheme="minorHAnsi"/>
          <w:spacing w:val="-6"/>
          <w:w w:val="105"/>
          <w:sz w:val="24"/>
          <w:szCs w:val="24"/>
        </w:rPr>
        <w:t xml:space="preserve"> </w:t>
      </w:r>
      <w:r w:rsidRPr="0042572B">
        <w:rPr>
          <w:rFonts w:asciiTheme="minorHAnsi" w:hAnsiTheme="minorHAnsi" w:cstheme="minorHAnsi"/>
          <w:w w:val="105"/>
          <w:sz w:val="24"/>
          <w:szCs w:val="24"/>
        </w:rPr>
        <w:t>other</w:t>
      </w:r>
      <w:r w:rsidRPr="0042572B">
        <w:rPr>
          <w:rFonts w:asciiTheme="minorHAnsi" w:hAnsiTheme="minorHAnsi" w:cstheme="minorHAnsi"/>
          <w:spacing w:val="-6"/>
          <w:w w:val="105"/>
          <w:sz w:val="24"/>
          <w:szCs w:val="24"/>
        </w:rPr>
        <w:t xml:space="preserve"> </w:t>
      </w:r>
      <w:r w:rsidRPr="0042572B">
        <w:rPr>
          <w:rFonts w:asciiTheme="minorHAnsi" w:hAnsiTheme="minorHAnsi" w:cstheme="minorHAnsi"/>
          <w:w w:val="105"/>
          <w:sz w:val="24"/>
          <w:szCs w:val="24"/>
        </w:rPr>
        <w:t>powers</w:t>
      </w:r>
      <w:r w:rsidRPr="0042572B">
        <w:rPr>
          <w:rFonts w:asciiTheme="minorHAnsi" w:hAnsiTheme="minorHAnsi" w:cstheme="minorHAnsi"/>
          <w:spacing w:val="-5"/>
          <w:w w:val="105"/>
          <w:sz w:val="24"/>
          <w:szCs w:val="24"/>
        </w:rPr>
        <w:t xml:space="preserve"> </w:t>
      </w:r>
      <w:r w:rsidRPr="0042572B">
        <w:rPr>
          <w:rFonts w:asciiTheme="minorHAnsi" w:hAnsiTheme="minorHAnsi" w:cstheme="minorHAnsi"/>
          <w:w w:val="105"/>
          <w:sz w:val="24"/>
          <w:szCs w:val="24"/>
        </w:rPr>
        <w:t>enabling</w:t>
      </w:r>
      <w:r w:rsidRPr="0042572B">
        <w:rPr>
          <w:rFonts w:asciiTheme="minorHAnsi" w:hAnsiTheme="minorHAnsi" w:cstheme="minorHAnsi"/>
          <w:spacing w:val="-5"/>
          <w:w w:val="105"/>
          <w:sz w:val="24"/>
          <w:szCs w:val="24"/>
        </w:rPr>
        <w:t xml:space="preserve"> </w:t>
      </w:r>
      <w:r w:rsidRPr="0042572B">
        <w:rPr>
          <w:rFonts w:asciiTheme="minorHAnsi" w:hAnsiTheme="minorHAnsi" w:cstheme="minorHAnsi"/>
          <w:w w:val="105"/>
          <w:sz w:val="24"/>
          <w:szCs w:val="24"/>
        </w:rPr>
        <w:t>it</w:t>
      </w:r>
      <w:r w:rsidRPr="0042572B">
        <w:rPr>
          <w:rFonts w:asciiTheme="minorHAnsi" w:hAnsiTheme="minorHAnsi" w:cstheme="minorHAnsi"/>
          <w:spacing w:val="-8"/>
          <w:w w:val="105"/>
          <w:sz w:val="24"/>
          <w:szCs w:val="24"/>
        </w:rPr>
        <w:t xml:space="preserve"> </w:t>
      </w:r>
      <w:r w:rsidRPr="0042572B">
        <w:rPr>
          <w:rFonts w:asciiTheme="minorHAnsi" w:hAnsiTheme="minorHAnsi" w:cstheme="minorHAnsi"/>
          <w:w w:val="105"/>
          <w:sz w:val="24"/>
          <w:szCs w:val="24"/>
        </w:rPr>
        <w:t>in</w:t>
      </w:r>
      <w:r w:rsidRPr="0042572B">
        <w:rPr>
          <w:rFonts w:asciiTheme="minorHAnsi" w:hAnsiTheme="minorHAnsi" w:cstheme="minorHAnsi"/>
          <w:spacing w:val="-48"/>
          <w:w w:val="105"/>
          <w:sz w:val="24"/>
          <w:szCs w:val="24"/>
        </w:rPr>
        <w:t xml:space="preserve"> </w:t>
      </w:r>
      <w:r w:rsidRPr="0042572B">
        <w:rPr>
          <w:rFonts w:asciiTheme="minorHAnsi" w:hAnsiTheme="minorHAnsi" w:cstheme="minorHAnsi"/>
          <w:w w:val="105"/>
          <w:sz w:val="24"/>
          <w:szCs w:val="24"/>
        </w:rPr>
        <w:t>this</w:t>
      </w:r>
      <w:r w:rsidRPr="0042572B">
        <w:rPr>
          <w:rFonts w:asciiTheme="minorHAnsi" w:hAnsiTheme="minorHAnsi" w:cstheme="minorHAnsi"/>
          <w:spacing w:val="1"/>
          <w:w w:val="105"/>
          <w:sz w:val="24"/>
          <w:szCs w:val="24"/>
        </w:rPr>
        <w:t xml:space="preserve"> </w:t>
      </w:r>
      <w:r w:rsidRPr="0042572B">
        <w:rPr>
          <w:rFonts w:asciiTheme="minorHAnsi" w:hAnsiTheme="minorHAnsi" w:cstheme="minorHAnsi"/>
          <w:w w:val="105"/>
          <w:sz w:val="24"/>
          <w:szCs w:val="24"/>
        </w:rPr>
        <w:t>behalf</w:t>
      </w:r>
      <w:r w:rsidR="00742A5C">
        <w:rPr>
          <w:rFonts w:asciiTheme="minorHAnsi" w:hAnsiTheme="minorHAnsi" w:cstheme="minorHAnsi"/>
          <w:w w:val="105"/>
          <w:sz w:val="24"/>
          <w:szCs w:val="24"/>
        </w:rPr>
        <w:t xml:space="preserve"> and after previous publication</w:t>
      </w:r>
      <w:r w:rsidRPr="0042572B">
        <w:rPr>
          <w:rFonts w:asciiTheme="minorHAnsi" w:hAnsiTheme="minorHAnsi" w:cstheme="minorHAnsi"/>
          <w:w w:val="105"/>
          <w:sz w:val="24"/>
          <w:szCs w:val="24"/>
        </w:rPr>
        <w:t>,</w:t>
      </w:r>
      <w:r w:rsidRPr="0042572B">
        <w:rPr>
          <w:rFonts w:asciiTheme="minorHAnsi" w:hAnsiTheme="minorHAnsi" w:cstheme="minorHAnsi"/>
          <w:spacing w:val="1"/>
          <w:w w:val="105"/>
          <w:sz w:val="24"/>
          <w:szCs w:val="24"/>
        </w:rPr>
        <w:t xml:space="preserve"> </w:t>
      </w:r>
      <w:r w:rsidRPr="0042572B">
        <w:rPr>
          <w:rFonts w:asciiTheme="minorHAnsi" w:hAnsiTheme="minorHAnsi" w:cstheme="minorHAnsi"/>
          <w:w w:val="105"/>
          <w:sz w:val="24"/>
          <w:szCs w:val="24"/>
        </w:rPr>
        <w:t>the</w:t>
      </w:r>
      <w:r w:rsidR="0042572B" w:rsidRPr="0042572B">
        <w:rPr>
          <w:rFonts w:asciiTheme="minorHAnsi" w:hAnsiTheme="minorHAnsi" w:cstheme="minorHAnsi"/>
          <w:w w:val="105"/>
          <w:sz w:val="24"/>
          <w:szCs w:val="24"/>
        </w:rPr>
        <w:t xml:space="preserve"> Nagaland</w:t>
      </w:r>
      <w:r w:rsidRPr="0042572B">
        <w:rPr>
          <w:rFonts w:asciiTheme="minorHAnsi" w:hAnsiTheme="minorHAnsi" w:cstheme="minorHAnsi"/>
          <w:spacing w:val="1"/>
          <w:w w:val="105"/>
          <w:sz w:val="24"/>
          <w:szCs w:val="24"/>
        </w:rPr>
        <w:t xml:space="preserve"> </w:t>
      </w:r>
      <w:r w:rsidRPr="0042572B">
        <w:rPr>
          <w:rFonts w:asciiTheme="minorHAnsi" w:hAnsiTheme="minorHAnsi" w:cstheme="minorHAnsi"/>
          <w:w w:val="105"/>
          <w:sz w:val="24"/>
          <w:szCs w:val="24"/>
        </w:rPr>
        <w:t>Electricity</w:t>
      </w:r>
      <w:r w:rsidRPr="0042572B">
        <w:rPr>
          <w:rFonts w:asciiTheme="minorHAnsi" w:hAnsiTheme="minorHAnsi" w:cstheme="minorHAnsi"/>
          <w:spacing w:val="1"/>
          <w:w w:val="105"/>
          <w:sz w:val="24"/>
          <w:szCs w:val="24"/>
        </w:rPr>
        <w:t xml:space="preserve"> </w:t>
      </w:r>
      <w:r w:rsidRPr="0042572B">
        <w:rPr>
          <w:rFonts w:asciiTheme="minorHAnsi" w:hAnsiTheme="minorHAnsi" w:cstheme="minorHAnsi"/>
          <w:w w:val="105"/>
          <w:sz w:val="24"/>
          <w:szCs w:val="24"/>
        </w:rPr>
        <w:t>Regulatory</w:t>
      </w:r>
      <w:r w:rsidRPr="0042572B">
        <w:rPr>
          <w:rFonts w:asciiTheme="minorHAnsi" w:hAnsiTheme="minorHAnsi" w:cstheme="minorHAnsi"/>
          <w:spacing w:val="1"/>
          <w:w w:val="105"/>
          <w:sz w:val="24"/>
          <w:szCs w:val="24"/>
        </w:rPr>
        <w:t xml:space="preserve"> </w:t>
      </w:r>
      <w:r w:rsidRPr="0042572B">
        <w:rPr>
          <w:rFonts w:asciiTheme="minorHAnsi" w:hAnsiTheme="minorHAnsi" w:cstheme="minorHAnsi"/>
          <w:w w:val="105"/>
          <w:sz w:val="24"/>
          <w:szCs w:val="24"/>
        </w:rPr>
        <w:t>Commission</w:t>
      </w:r>
      <w:r w:rsidRPr="0042572B">
        <w:rPr>
          <w:rFonts w:asciiTheme="minorHAnsi" w:hAnsiTheme="minorHAnsi" w:cstheme="minorHAnsi"/>
          <w:spacing w:val="1"/>
          <w:w w:val="105"/>
          <w:sz w:val="24"/>
          <w:szCs w:val="24"/>
        </w:rPr>
        <w:t xml:space="preserve"> </w:t>
      </w:r>
      <w:r w:rsidRPr="0042572B">
        <w:rPr>
          <w:rFonts w:asciiTheme="minorHAnsi" w:hAnsiTheme="minorHAnsi" w:cstheme="minorHAnsi"/>
          <w:w w:val="105"/>
          <w:sz w:val="24"/>
          <w:szCs w:val="24"/>
        </w:rPr>
        <w:t>hereby</w:t>
      </w:r>
      <w:r w:rsidRPr="0042572B">
        <w:rPr>
          <w:rFonts w:asciiTheme="minorHAnsi" w:hAnsiTheme="minorHAnsi" w:cstheme="minorHAnsi"/>
          <w:spacing w:val="5"/>
          <w:w w:val="105"/>
          <w:sz w:val="24"/>
          <w:szCs w:val="24"/>
        </w:rPr>
        <w:t xml:space="preserve"> </w:t>
      </w:r>
      <w:r w:rsidRPr="0042572B">
        <w:rPr>
          <w:rFonts w:asciiTheme="minorHAnsi" w:hAnsiTheme="minorHAnsi" w:cstheme="minorHAnsi"/>
          <w:w w:val="105"/>
          <w:sz w:val="24"/>
          <w:szCs w:val="24"/>
        </w:rPr>
        <w:t>makes</w:t>
      </w:r>
      <w:r w:rsidRPr="0042572B">
        <w:rPr>
          <w:rFonts w:asciiTheme="minorHAnsi" w:hAnsiTheme="minorHAnsi" w:cstheme="minorHAnsi"/>
          <w:spacing w:val="5"/>
          <w:w w:val="105"/>
          <w:sz w:val="24"/>
          <w:szCs w:val="24"/>
        </w:rPr>
        <w:t xml:space="preserve"> </w:t>
      </w:r>
      <w:r w:rsidRPr="0042572B">
        <w:rPr>
          <w:rFonts w:asciiTheme="minorHAnsi" w:hAnsiTheme="minorHAnsi" w:cstheme="minorHAnsi"/>
          <w:w w:val="105"/>
          <w:sz w:val="24"/>
          <w:szCs w:val="24"/>
        </w:rPr>
        <w:t>the</w:t>
      </w:r>
      <w:r w:rsidRPr="0042572B">
        <w:rPr>
          <w:rFonts w:asciiTheme="minorHAnsi" w:hAnsiTheme="minorHAnsi" w:cstheme="minorHAnsi"/>
          <w:spacing w:val="5"/>
          <w:w w:val="105"/>
          <w:sz w:val="24"/>
          <w:szCs w:val="24"/>
        </w:rPr>
        <w:t xml:space="preserve"> </w:t>
      </w:r>
      <w:r w:rsidRPr="0042572B">
        <w:rPr>
          <w:rFonts w:asciiTheme="minorHAnsi" w:hAnsiTheme="minorHAnsi" w:cstheme="minorHAnsi"/>
          <w:w w:val="105"/>
          <w:sz w:val="24"/>
          <w:szCs w:val="24"/>
        </w:rPr>
        <w:t>following</w:t>
      </w:r>
      <w:r w:rsidRPr="0042572B">
        <w:rPr>
          <w:rFonts w:asciiTheme="minorHAnsi" w:hAnsiTheme="minorHAnsi" w:cstheme="minorHAnsi"/>
          <w:spacing w:val="7"/>
          <w:w w:val="105"/>
          <w:sz w:val="24"/>
          <w:szCs w:val="24"/>
        </w:rPr>
        <w:t xml:space="preserve"> </w:t>
      </w:r>
      <w:r w:rsidRPr="0042572B">
        <w:rPr>
          <w:rFonts w:asciiTheme="minorHAnsi" w:hAnsiTheme="minorHAnsi" w:cstheme="minorHAnsi"/>
          <w:w w:val="105"/>
          <w:sz w:val="24"/>
          <w:szCs w:val="24"/>
        </w:rPr>
        <w:t>Regulations,</w:t>
      </w:r>
      <w:r w:rsidRPr="0042572B">
        <w:rPr>
          <w:rFonts w:asciiTheme="minorHAnsi" w:hAnsiTheme="minorHAnsi" w:cstheme="minorHAnsi"/>
          <w:spacing w:val="7"/>
          <w:w w:val="105"/>
          <w:sz w:val="24"/>
          <w:szCs w:val="24"/>
        </w:rPr>
        <w:t xml:space="preserve"> </w:t>
      </w:r>
      <w:r w:rsidRPr="0042572B">
        <w:rPr>
          <w:rFonts w:asciiTheme="minorHAnsi" w:hAnsiTheme="minorHAnsi" w:cstheme="minorHAnsi"/>
          <w:w w:val="105"/>
          <w:sz w:val="24"/>
          <w:szCs w:val="24"/>
        </w:rPr>
        <w:t>namely-</w:t>
      </w:r>
    </w:p>
    <w:p w:rsidR="000011E9" w:rsidRDefault="000011E9">
      <w:pPr>
        <w:pStyle w:val="BodyText"/>
        <w:spacing w:before="10"/>
        <w:rPr>
          <w:sz w:val="33"/>
        </w:rPr>
      </w:pPr>
    </w:p>
    <w:p w:rsidR="006E36C8" w:rsidRDefault="0058769F" w:rsidP="006E36C8">
      <w:pPr>
        <w:pStyle w:val="Heading1"/>
        <w:spacing w:line="583" w:lineRule="auto"/>
        <w:ind w:left="0" w:right="4"/>
        <w:rPr>
          <w:spacing w:val="1"/>
          <w:w w:val="105"/>
        </w:rPr>
      </w:pPr>
      <w:r>
        <w:rPr>
          <w:w w:val="105"/>
        </w:rPr>
        <w:t>CHAPTER 1</w:t>
      </w:r>
      <w:r>
        <w:rPr>
          <w:spacing w:val="1"/>
          <w:w w:val="105"/>
        </w:rPr>
        <w:t xml:space="preserve"> </w:t>
      </w:r>
    </w:p>
    <w:p w:rsidR="000011E9" w:rsidRDefault="0058769F" w:rsidP="006E36C8">
      <w:pPr>
        <w:pStyle w:val="Heading1"/>
        <w:spacing w:line="583" w:lineRule="auto"/>
        <w:ind w:left="0" w:right="4"/>
      </w:pPr>
      <w:r>
        <w:t>PRELIMINARY</w:t>
      </w:r>
    </w:p>
    <w:p w:rsidR="000011E9" w:rsidRDefault="0058769F">
      <w:pPr>
        <w:pStyle w:val="Heading2"/>
        <w:numPr>
          <w:ilvl w:val="0"/>
          <w:numId w:val="7"/>
        </w:numPr>
        <w:tabs>
          <w:tab w:val="left" w:pos="833"/>
        </w:tabs>
        <w:spacing w:line="231" w:lineRule="exact"/>
        <w:jc w:val="both"/>
      </w:pPr>
      <w:r>
        <w:rPr>
          <w:w w:val="105"/>
        </w:rPr>
        <w:t>Short</w:t>
      </w:r>
      <w:r>
        <w:rPr>
          <w:spacing w:val="-8"/>
          <w:w w:val="105"/>
        </w:rPr>
        <w:t xml:space="preserve"> </w:t>
      </w:r>
      <w:r>
        <w:rPr>
          <w:w w:val="105"/>
        </w:rPr>
        <w:t>Title,</w:t>
      </w:r>
      <w:r>
        <w:rPr>
          <w:spacing w:val="-6"/>
          <w:w w:val="105"/>
        </w:rPr>
        <w:t xml:space="preserve"> </w:t>
      </w:r>
      <w:r>
        <w:rPr>
          <w:w w:val="105"/>
        </w:rPr>
        <w:t>Extent</w:t>
      </w:r>
      <w:r>
        <w:rPr>
          <w:spacing w:val="-5"/>
          <w:w w:val="105"/>
        </w:rPr>
        <w:t xml:space="preserve"> </w:t>
      </w:r>
      <w:r>
        <w:rPr>
          <w:w w:val="105"/>
        </w:rPr>
        <w:t>and</w:t>
      </w:r>
      <w:r>
        <w:rPr>
          <w:spacing w:val="-3"/>
          <w:w w:val="105"/>
        </w:rPr>
        <w:t xml:space="preserve"> </w:t>
      </w:r>
      <w:r>
        <w:rPr>
          <w:w w:val="105"/>
        </w:rPr>
        <w:t>Commencement</w:t>
      </w:r>
    </w:p>
    <w:p w:rsidR="000011E9" w:rsidRPr="00B515BB" w:rsidRDefault="0058769F" w:rsidP="00294A1C">
      <w:pPr>
        <w:pStyle w:val="ListParagraph"/>
        <w:numPr>
          <w:ilvl w:val="1"/>
          <w:numId w:val="7"/>
        </w:numPr>
        <w:tabs>
          <w:tab w:val="left" w:pos="1510"/>
        </w:tabs>
        <w:spacing w:before="119" w:line="360" w:lineRule="auto"/>
        <w:ind w:right="264"/>
        <w:rPr>
          <w:rFonts w:asciiTheme="minorHAnsi" w:hAnsiTheme="minorHAnsi" w:cstheme="minorHAnsi"/>
          <w:w w:val="105"/>
          <w:sz w:val="24"/>
          <w:szCs w:val="24"/>
        </w:rPr>
      </w:pPr>
      <w:r w:rsidRPr="00B515BB">
        <w:rPr>
          <w:rFonts w:asciiTheme="minorHAnsi" w:hAnsiTheme="minorHAnsi" w:cstheme="minorHAnsi"/>
          <w:w w:val="105"/>
          <w:sz w:val="24"/>
          <w:szCs w:val="24"/>
        </w:rPr>
        <w:t xml:space="preserve">These </w:t>
      </w:r>
      <w:r w:rsidR="00B515BB" w:rsidRPr="00B515BB">
        <w:rPr>
          <w:rFonts w:asciiTheme="minorHAnsi" w:hAnsiTheme="minorHAnsi" w:cstheme="minorHAnsi"/>
          <w:w w:val="105"/>
          <w:sz w:val="24"/>
          <w:szCs w:val="24"/>
        </w:rPr>
        <w:t>R</w:t>
      </w:r>
      <w:r w:rsidRPr="00B515BB">
        <w:rPr>
          <w:rFonts w:asciiTheme="minorHAnsi" w:hAnsiTheme="minorHAnsi" w:cstheme="minorHAnsi"/>
          <w:w w:val="105"/>
          <w:sz w:val="24"/>
          <w:szCs w:val="24"/>
        </w:rPr>
        <w:t>egulations s</w:t>
      </w:r>
      <w:r w:rsidR="00B515BB" w:rsidRPr="00B515BB">
        <w:rPr>
          <w:rFonts w:asciiTheme="minorHAnsi" w:hAnsiTheme="minorHAnsi" w:cstheme="minorHAnsi"/>
          <w:w w:val="105"/>
          <w:sz w:val="24"/>
          <w:szCs w:val="24"/>
        </w:rPr>
        <w:t>hall be</w:t>
      </w:r>
      <w:r w:rsidRPr="00B515BB">
        <w:rPr>
          <w:rFonts w:asciiTheme="minorHAnsi" w:hAnsiTheme="minorHAnsi" w:cstheme="minorHAnsi"/>
          <w:w w:val="105"/>
          <w:sz w:val="24"/>
          <w:szCs w:val="24"/>
        </w:rPr>
        <w:t xml:space="preserve"> called </w:t>
      </w:r>
      <w:r w:rsidR="00B515BB" w:rsidRPr="00B515BB">
        <w:rPr>
          <w:rFonts w:asciiTheme="minorHAnsi" w:hAnsiTheme="minorHAnsi" w:cstheme="minorHAnsi"/>
          <w:w w:val="105"/>
          <w:sz w:val="24"/>
          <w:szCs w:val="24"/>
        </w:rPr>
        <w:t xml:space="preserve">as </w:t>
      </w:r>
      <w:r w:rsidRPr="00B515BB">
        <w:rPr>
          <w:rFonts w:asciiTheme="minorHAnsi" w:hAnsiTheme="minorHAnsi" w:cstheme="minorHAnsi"/>
          <w:w w:val="105"/>
          <w:sz w:val="24"/>
          <w:szCs w:val="24"/>
        </w:rPr>
        <w:t xml:space="preserve">the </w:t>
      </w:r>
      <w:r w:rsidR="00B515BB" w:rsidRPr="00B515BB">
        <w:rPr>
          <w:rFonts w:asciiTheme="minorHAnsi" w:hAnsiTheme="minorHAnsi" w:cstheme="minorHAnsi"/>
          <w:w w:val="105"/>
          <w:sz w:val="24"/>
          <w:szCs w:val="24"/>
        </w:rPr>
        <w:t>Nagaland</w:t>
      </w:r>
      <w:r w:rsidRPr="00B515BB">
        <w:rPr>
          <w:rFonts w:asciiTheme="minorHAnsi" w:hAnsiTheme="minorHAnsi" w:cstheme="minorHAnsi"/>
          <w:w w:val="105"/>
          <w:sz w:val="24"/>
          <w:szCs w:val="24"/>
        </w:rPr>
        <w:t xml:space="preserve"> Electricity Regulatory Commission (Methodology for determination of Green Energy Open Access Charges) Regulations,</w:t>
      </w:r>
      <w:r w:rsidR="00742A5C">
        <w:rPr>
          <w:rFonts w:asciiTheme="minorHAnsi" w:hAnsiTheme="minorHAnsi" w:cstheme="minorHAnsi"/>
          <w:w w:val="105"/>
          <w:sz w:val="24"/>
          <w:szCs w:val="24"/>
        </w:rPr>
        <w:t xml:space="preserve"> </w:t>
      </w:r>
      <w:r w:rsidRPr="00B515BB">
        <w:rPr>
          <w:rFonts w:asciiTheme="minorHAnsi" w:hAnsiTheme="minorHAnsi" w:cstheme="minorHAnsi"/>
          <w:w w:val="105"/>
          <w:sz w:val="24"/>
          <w:szCs w:val="24"/>
        </w:rPr>
        <w:t>202</w:t>
      </w:r>
      <w:r w:rsidR="00B515BB">
        <w:rPr>
          <w:rFonts w:asciiTheme="minorHAnsi" w:hAnsiTheme="minorHAnsi" w:cstheme="minorHAnsi"/>
          <w:w w:val="105"/>
          <w:sz w:val="24"/>
          <w:szCs w:val="24"/>
        </w:rPr>
        <w:t>4</w:t>
      </w:r>
      <w:r w:rsidRPr="00B515BB">
        <w:rPr>
          <w:rFonts w:asciiTheme="minorHAnsi" w:hAnsiTheme="minorHAnsi" w:cstheme="minorHAnsi"/>
          <w:w w:val="105"/>
          <w:sz w:val="24"/>
          <w:szCs w:val="24"/>
        </w:rPr>
        <w:t>.</w:t>
      </w:r>
    </w:p>
    <w:p w:rsidR="000011E9" w:rsidRPr="00B515BB" w:rsidRDefault="0058769F" w:rsidP="00294A1C">
      <w:pPr>
        <w:pStyle w:val="ListParagraph"/>
        <w:numPr>
          <w:ilvl w:val="1"/>
          <w:numId w:val="7"/>
        </w:numPr>
        <w:tabs>
          <w:tab w:val="left" w:pos="1510"/>
        </w:tabs>
        <w:spacing w:before="122" w:line="360" w:lineRule="auto"/>
        <w:ind w:right="259"/>
        <w:rPr>
          <w:rFonts w:asciiTheme="minorHAnsi" w:hAnsiTheme="minorHAnsi" w:cstheme="minorHAnsi"/>
          <w:w w:val="105"/>
          <w:sz w:val="24"/>
          <w:szCs w:val="24"/>
        </w:rPr>
      </w:pPr>
      <w:r w:rsidRPr="00B515BB">
        <w:rPr>
          <w:rFonts w:asciiTheme="minorHAnsi" w:hAnsiTheme="minorHAnsi" w:cstheme="minorHAnsi"/>
          <w:w w:val="105"/>
          <w:sz w:val="24"/>
          <w:szCs w:val="24"/>
        </w:rPr>
        <w:t>These Regulations will come into force from the date of their notification in the Official Gazette.</w:t>
      </w:r>
    </w:p>
    <w:p w:rsidR="000011E9" w:rsidRPr="00B515BB" w:rsidRDefault="0058769F" w:rsidP="00294A1C">
      <w:pPr>
        <w:pStyle w:val="ListParagraph"/>
        <w:numPr>
          <w:ilvl w:val="1"/>
          <w:numId w:val="7"/>
        </w:numPr>
        <w:tabs>
          <w:tab w:val="left" w:pos="1510"/>
        </w:tabs>
        <w:spacing w:before="119" w:line="360" w:lineRule="auto"/>
        <w:ind w:hanging="678"/>
        <w:rPr>
          <w:rFonts w:asciiTheme="minorHAnsi" w:hAnsiTheme="minorHAnsi" w:cstheme="minorHAnsi"/>
          <w:w w:val="105"/>
          <w:sz w:val="24"/>
          <w:szCs w:val="24"/>
        </w:rPr>
      </w:pPr>
      <w:r w:rsidRPr="00B515BB">
        <w:rPr>
          <w:rFonts w:asciiTheme="minorHAnsi" w:hAnsiTheme="minorHAnsi" w:cstheme="minorHAnsi"/>
          <w:w w:val="105"/>
          <w:sz w:val="24"/>
          <w:szCs w:val="24"/>
        </w:rPr>
        <w:t>These Regulations shall extend to the whole of the State</w:t>
      </w:r>
      <w:r w:rsidR="00294A1C">
        <w:rPr>
          <w:rFonts w:asciiTheme="minorHAnsi" w:hAnsiTheme="minorHAnsi" w:cstheme="minorHAnsi"/>
          <w:w w:val="105"/>
          <w:sz w:val="24"/>
          <w:szCs w:val="24"/>
        </w:rPr>
        <w:t>.</w:t>
      </w:r>
    </w:p>
    <w:p w:rsidR="000011E9" w:rsidRDefault="000011E9">
      <w:pPr>
        <w:pStyle w:val="BodyText"/>
        <w:spacing w:before="4"/>
        <w:rPr>
          <w:sz w:val="34"/>
        </w:rPr>
      </w:pPr>
    </w:p>
    <w:p w:rsidR="000011E9" w:rsidRDefault="0058769F">
      <w:pPr>
        <w:pStyle w:val="Heading2"/>
        <w:numPr>
          <w:ilvl w:val="0"/>
          <w:numId w:val="7"/>
        </w:numPr>
        <w:tabs>
          <w:tab w:val="left" w:pos="832"/>
          <w:tab w:val="left" w:pos="833"/>
        </w:tabs>
        <w:jc w:val="left"/>
      </w:pPr>
      <w:r>
        <w:rPr>
          <w:w w:val="105"/>
        </w:rPr>
        <w:t>Objective</w:t>
      </w:r>
    </w:p>
    <w:p w:rsidR="000011E9" w:rsidRPr="00294A1C" w:rsidRDefault="0058769F" w:rsidP="00294A1C">
      <w:pPr>
        <w:pStyle w:val="BodyText"/>
        <w:spacing w:before="112" w:line="360" w:lineRule="auto"/>
        <w:ind w:left="832" w:right="855"/>
        <w:jc w:val="both"/>
        <w:rPr>
          <w:rFonts w:asciiTheme="minorHAnsi" w:hAnsiTheme="minorHAnsi" w:cstheme="minorHAnsi"/>
          <w:w w:val="105"/>
          <w:sz w:val="24"/>
          <w:szCs w:val="24"/>
        </w:rPr>
      </w:pPr>
      <w:r w:rsidRPr="00294A1C">
        <w:rPr>
          <w:rFonts w:asciiTheme="minorHAnsi" w:hAnsiTheme="minorHAnsi" w:cstheme="minorHAnsi"/>
          <w:w w:val="105"/>
          <w:sz w:val="24"/>
          <w:szCs w:val="24"/>
        </w:rPr>
        <w:t>The objective of these regulations is to provide a methodology for the determination of Open Access charges and Banking charges for Green Energy Open Access consumers.</w:t>
      </w:r>
    </w:p>
    <w:p w:rsidR="00BC75B0" w:rsidRPr="00BC75B0" w:rsidRDefault="0058769F" w:rsidP="00BC75B0">
      <w:pPr>
        <w:pStyle w:val="Heading2"/>
        <w:numPr>
          <w:ilvl w:val="0"/>
          <w:numId w:val="7"/>
        </w:numPr>
        <w:tabs>
          <w:tab w:val="left" w:pos="832"/>
          <w:tab w:val="left" w:pos="833"/>
          <w:tab w:val="left" w:pos="1509"/>
          <w:tab w:val="left" w:pos="1510"/>
        </w:tabs>
        <w:spacing w:before="79"/>
        <w:jc w:val="left"/>
      </w:pPr>
      <w:r w:rsidRPr="00BC75B0">
        <w:rPr>
          <w:w w:val="105"/>
        </w:rPr>
        <w:t>Definitions</w:t>
      </w:r>
    </w:p>
    <w:p w:rsidR="000011E9" w:rsidRPr="00563989" w:rsidRDefault="0058769F" w:rsidP="00563989">
      <w:pPr>
        <w:pStyle w:val="Heading2"/>
        <w:numPr>
          <w:ilvl w:val="1"/>
          <w:numId w:val="7"/>
        </w:numPr>
        <w:tabs>
          <w:tab w:val="left" w:pos="832"/>
          <w:tab w:val="left" w:pos="833"/>
          <w:tab w:val="left" w:pos="1276"/>
        </w:tabs>
        <w:spacing w:before="79"/>
        <w:ind w:left="851" w:hanging="425"/>
        <w:rPr>
          <w:rFonts w:asciiTheme="minorHAnsi" w:hAnsiTheme="minorHAnsi" w:cstheme="minorHAnsi"/>
          <w:b w:val="0"/>
          <w:bCs w:val="0"/>
          <w:w w:val="105"/>
        </w:rPr>
      </w:pPr>
      <w:r w:rsidRPr="00563989">
        <w:rPr>
          <w:rFonts w:asciiTheme="minorHAnsi" w:hAnsiTheme="minorHAnsi" w:cstheme="minorHAnsi"/>
          <w:b w:val="0"/>
          <w:bCs w:val="0"/>
          <w:w w:val="105"/>
        </w:rPr>
        <w:t>In these regulations, unless the context otherwise requires,</w:t>
      </w:r>
    </w:p>
    <w:p w:rsidR="000011E9" w:rsidRPr="00563989" w:rsidRDefault="0058769F" w:rsidP="00563989">
      <w:pPr>
        <w:pStyle w:val="ListParagraph"/>
        <w:numPr>
          <w:ilvl w:val="2"/>
          <w:numId w:val="7"/>
        </w:numPr>
        <w:tabs>
          <w:tab w:val="left" w:pos="1276"/>
          <w:tab w:val="left" w:pos="2161"/>
        </w:tabs>
        <w:spacing w:before="137"/>
        <w:ind w:left="851" w:hanging="425"/>
        <w:rPr>
          <w:rFonts w:asciiTheme="minorHAnsi" w:hAnsiTheme="minorHAnsi" w:cstheme="minorHAnsi"/>
          <w:w w:val="105"/>
          <w:sz w:val="24"/>
          <w:szCs w:val="24"/>
        </w:rPr>
      </w:pPr>
      <w:r w:rsidRPr="00563989">
        <w:rPr>
          <w:rFonts w:asciiTheme="minorHAnsi" w:hAnsiTheme="minorHAnsi" w:cstheme="minorHAnsi"/>
          <w:w w:val="105"/>
          <w:sz w:val="24"/>
          <w:szCs w:val="24"/>
        </w:rPr>
        <w:t>"Act" means the Electricity Act, 2003(36 of 2003);</w:t>
      </w:r>
    </w:p>
    <w:p w:rsidR="000011E9" w:rsidRPr="00563989" w:rsidRDefault="0058769F" w:rsidP="00563989">
      <w:pPr>
        <w:pStyle w:val="ListParagraph"/>
        <w:numPr>
          <w:ilvl w:val="2"/>
          <w:numId w:val="7"/>
        </w:numPr>
        <w:tabs>
          <w:tab w:val="left" w:pos="1276"/>
          <w:tab w:val="left" w:pos="2269"/>
        </w:tabs>
        <w:spacing w:before="133" w:line="360" w:lineRule="auto"/>
        <w:ind w:left="851" w:right="117" w:hanging="425"/>
        <w:rPr>
          <w:rFonts w:asciiTheme="minorHAnsi" w:hAnsiTheme="minorHAnsi" w:cstheme="minorHAnsi"/>
          <w:w w:val="105"/>
          <w:sz w:val="24"/>
          <w:szCs w:val="24"/>
        </w:rPr>
      </w:pPr>
      <w:r w:rsidRPr="00563989">
        <w:rPr>
          <w:rFonts w:asciiTheme="minorHAnsi" w:hAnsiTheme="minorHAnsi" w:cstheme="minorHAnsi"/>
          <w:w w:val="105"/>
          <w:sz w:val="24"/>
          <w:szCs w:val="24"/>
        </w:rPr>
        <w:t>“Banking” means the surplus green energy scheduled and injected into the grid and credited with the distribution licensee by the Green Energy Open Access consumers;</w:t>
      </w:r>
    </w:p>
    <w:p w:rsidR="000011E9" w:rsidRPr="00563989" w:rsidRDefault="0058769F" w:rsidP="00563989">
      <w:pPr>
        <w:pStyle w:val="ListParagraph"/>
        <w:numPr>
          <w:ilvl w:val="2"/>
          <w:numId w:val="7"/>
        </w:numPr>
        <w:tabs>
          <w:tab w:val="left" w:pos="1276"/>
          <w:tab w:val="left" w:pos="2269"/>
        </w:tabs>
        <w:spacing w:before="135" w:line="360" w:lineRule="auto"/>
        <w:ind w:left="851" w:right="119" w:hanging="425"/>
        <w:rPr>
          <w:rFonts w:asciiTheme="minorHAnsi" w:hAnsiTheme="minorHAnsi" w:cstheme="minorHAnsi"/>
          <w:w w:val="105"/>
          <w:sz w:val="24"/>
          <w:szCs w:val="24"/>
        </w:rPr>
      </w:pPr>
      <w:r w:rsidRPr="00563989">
        <w:rPr>
          <w:rFonts w:asciiTheme="minorHAnsi" w:hAnsiTheme="minorHAnsi" w:cstheme="minorHAnsi"/>
          <w:w w:val="105"/>
          <w:sz w:val="24"/>
          <w:szCs w:val="24"/>
        </w:rPr>
        <w:lastRenderedPageBreak/>
        <w:t>‘Central Commission’ means the Central Electricity Regulatory Commission referred to in sub-section (1) of Section 76 of the Act;</w:t>
      </w:r>
    </w:p>
    <w:p w:rsidR="000011E9" w:rsidRPr="00790B06" w:rsidRDefault="0058769F" w:rsidP="00790B06">
      <w:pPr>
        <w:pStyle w:val="ListParagraph"/>
        <w:numPr>
          <w:ilvl w:val="2"/>
          <w:numId w:val="7"/>
        </w:numPr>
        <w:tabs>
          <w:tab w:val="left" w:pos="1276"/>
          <w:tab w:val="left" w:pos="2127"/>
        </w:tabs>
        <w:spacing w:before="136"/>
        <w:ind w:left="851" w:hanging="425"/>
        <w:rPr>
          <w:rFonts w:asciiTheme="minorHAnsi" w:hAnsiTheme="minorHAnsi" w:cstheme="minorHAnsi"/>
          <w:w w:val="105"/>
          <w:sz w:val="24"/>
          <w:szCs w:val="24"/>
        </w:rPr>
      </w:pPr>
      <w:r w:rsidRPr="00563989">
        <w:rPr>
          <w:rFonts w:asciiTheme="minorHAnsi" w:hAnsiTheme="minorHAnsi" w:cstheme="minorHAnsi"/>
          <w:w w:val="105"/>
          <w:sz w:val="24"/>
          <w:szCs w:val="24"/>
        </w:rPr>
        <w:t>“Central Nodal Agency” means a Central Nodal Agency as notified by the</w:t>
      </w:r>
      <w:r w:rsidR="00790B06">
        <w:rPr>
          <w:rFonts w:asciiTheme="minorHAnsi" w:hAnsiTheme="minorHAnsi" w:cstheme="minorHAnsi"/>
          <w:w w:val="105"/>
          <w:sz w:val="24"/>
          <w:szCs w:val="24"/>
        </w:rPr>
        <w:t xml:space="preserve"> </w:t>
      </w:r>
      <w:r w:rsidRPr="00790B06">
        <w:rPr>
          <w:rFonts w:asciiTheme="minorHAnsi" w:hAnsiTheme="minorHAnsi" w:cstheme="minorHAnsi"/>
          <w:w w:val="105"/>
          <w:sz w:val="24"/>
          <w:szCs w:val="24"/>
        </w:rPr>
        <w:t>Central Government to set up and operate a single window green energy open access system for renewable energy;</w:t>
      </w:r>
    </w:p>
    <w:p w:rsidR="000011E9" w:rsidRPr="00790B06" w:rsidRDefault="0058769F" w:rsidP="00563989">
      <w:pPr>
        <w:pStyle w:val="ListParagraph"/>
        <w:numPr>
          <w:ilvl w:val="2"/>
          <w:numId w:val="7"/>
        </w:numPr>
        <w:tabs>
          <w:tab w:val="left" w:pos="1276"/>
          <w:tab w:val="left" w:pos="2221"/>
          <w:tab w:val="left" w:leader="dot" w:pos="5240"/>
        </w:tabs>
        <w:spacing w:before="136"/>
        <w:ind w:left="851" w:hanging="425"/>
        <w:rPr>
          <w:rFonts w:asciiTheme="minorHAnsi" w:hAnsiTheme="minorHAnsi" w:cstheme="minorHAnsi"/>
          <w:w w:val="105"/>
          <w:sz w:val="24"/>
          <w:szCs w:val="24"/>
        </w:rPr>
      </w:pPr>
      <w:r w:rsidRPr="00790B06">
        <w:rPr>
          <w:rFonts w:asciiTheme="minorHAnsi" w:hAnsiTheme="minorHAnsi" w:cstheme="minorHAnsi"/>
          <w:w w:val="105"/>
          <w:sz w:val="24"/>
          <w:szCs w:val="24"/>
        </w:rPr>
        <w:t>“Commission” means the</w:t>
      </w:r>
      <w:r w:rsidR="00790B06" w:rsidRPr="00790B06">
        <w:rPr>
          <w:rFonts w:asciiTheme="minorHAnsi" w:hAnsiTheme="minorHAnsi" w:cstheme="minorHAnsi"/>
          <w:w w:val="105"/>
          <w:sz w:val="24"/>
          <w:szCs w:val="24"/>
        </w:rPr>
        <w:t xml:space="preserve"> Nagaland</w:t>
      </w:r>
      <w:r w:rsidRPr="00790B06">
        <w:rPr>
          <w:rFonts w:asciiTheme="minorHAnsi" w:hAnsiTheme="minorHAnsi" w:cstheme="minorHAnsi"/>
          <w:w w:val="105"/>
          <w:sz w:val="24"/>
          <w:szCs w:val="24"/>
        </w:rPr>
        <w:t xml:space="preserve"> Electricity Regulatory</w:t>
      </w:r>
      <w:r w:rsidR="00790B06">
        <w:rPr>
          <w:rFonts w:asciiTheme="minorHAnsi" w:hAnsiTheme="minorHAnsi" w:cstheme="minorHAnsi"/>
          <w:w w:val="105"/>
          <w:sz w:val="24"/>
          <w:szCs w:val="24"/>
        </w:rPr>
        <w:t xml:space="preserve"> </w:t>
      </w:r>
      <w:r w:rsidRPr="00790B06">
        <w:rPr>
          <w:rFonts w:asciiTheme="minorHAnsi" w:hAnsiTheme="minorHAnsi" w:cstheme="minorHAnsi"/>
          <w:w w:val="105"/>
          <w:sz w:val="24"/>
          <w:szCs w:val="24"/>
        </w:rPr>
        <w:t>Commission constituted under the Act;</w:t>
      </w:r>
    </w:p>
    <w:p w:rsidR="000011E9" w:rsidRPr="00790B06" w:rsidRDefault="0058769F" w:rsidP="00563989">
      <w:pPr>
        <w:pStyle w:val="ListParagraph"/>
        <w:numPr>
          <w:ilvl w:val="2"/>
          <w:numId w:val="7"/>
        </w:numPr>
        <w:tabs>
          <w:tab w:val="left" w:pos="1276"/>
          <w:tab w:val="left" w:pos="2221"/>
        </w:tabs>
        <w:spacing w:before="40"/>
        <w:ind w:left="851" w:hanging="425"/>
        <w:rPr>
          <w:rFonts w:asciiTheme="minorHAnsi" w:hAnsiTheme="minorHAnsi" w:cstheme="minorHAnsi"/>
          <w:w w:val="105"/>
          <w:sz w:val="24"/>
          <w:szCs w:val="24"/>
        </w:rPr>
      </w:pPr>
      <w:r w:rsidRPr="00790B06">
        <w:rPr>
          <w:rFonts w:asciiTheme="minorHAnsi" w:hAnsiTheme="minorHAnsi" w:cstheme="minorHAnsi"/>
          <w:w w:val="105"/>
          <w:sz w:val="24"/>
          <w:szCs w:val="24"/>
        </w:rPr>
        <w:t>“Day Ahead Market (DAM)” means a market where Day Ahead Contracts are</w:t>
      </w:r>
      <w:r w:rsidR="00790B06">
        <w:rPr>
          <w:rFonts w:asciiTheme="minorHAnsi" w:hAnsiTheme="minorHAnsi" w:cstheme="minorHAnsi"/>
          <w:w w:val="105"/>
          <w:sz w:val="24"/>
          <w:szCs w:val="24"/>
        </w:rPr>
        <w:t xml:space="preserve"> </w:t>
      </w:r>
      <w:r w:rsidRPr="00790B06">
        <w:rPr>
          <w:rFonts w:asciiTheme="minorHAnsi" w:hAnsiTheme="minorHAnsi" w:cstheme="minorHAnsi"/>
          <w:w w:val="105"/>
          <w:sz w:val="24"/>
          <w:szCs w:val="24"/>
        </w:rPr>
        <w:t>transacted on the Power Exchange(s);</w:t>
      </w:r>
    </w:p>
    <w:p w:rsidR="000011E9" w:rsidRPr="00563989" w:rsidRDefault="0058769F" w:rsidP="00790B06">
      <w:pPr>
        <w:pStyle w:val="ListParagraph"/>
        <w:numPr>
          <w:ilvl w:val="2"/>
          <w:numId w:val="7"/>
        </w:numPr>
        <w:tabs>
          <w:tab w:val="left" w:pos="1276"/>
          <w:tab w:val="left" w:pos="2221"/>
        </w:tabs>
        <w:spacing w:before="172" w:line="367" w:lineRule="auto"/>
        <w:ind w:left="851" w:right="4" w:hanging="425"/>
        <w:rPr>
          <w:rFonts w:asciiTheme="minorHAnsi" w:hAnsiTheme="minorHAnsi" w:cstheme="minorHAnsi"/>
          <w:w w:val="105"/>
          <w:sz w:val="24"/>
          <w:szCs w:val="24"/>
        </w:rPr>
      </w:pPr>
      <w:r w:rsidRPr="00563989">
        <w:rPr>
          <w:rFonts w:asciiTheme="minorHAnsi" w:hAnsiTheme="minorHAnsi" w:cstheme="minorHAnsi"/>
          <w:w w:val="105"/>
          <w:sz w:val="24"/>
          <w:szCs w:val="24"/>
        </w:rPr>
        <w:t>“Forum of Regulators” means the Forum as referred to in sub-section (2) of</w:t>
      </w:r>
      <w:r w:rsidR="00790B06">
        <w:rPr>
          <w:rFonts w:asciiTheme="minorHAnsi" w:hAnsiTheme="minorHAnsi" w:cstheme="minorHAnsi"/>
          <w:w w:val="105"/>
          <w:sz w:val="24"/>
          <w:szCs w:val="24"/>
        </w:rPr>
        <w:t xml:space="preserve"> </w:t>
      </w:r>
      <w:r w:rsidRPr="00563989">
        <w:rPr>
          <w:rFonts w:asciiTheme="minorHAnsi" w:hAnsiTheme="minorHAnsi" w:cstheme="minorHAnsi"/>
          <w:w w:val="105"/>
          <w:sz w:val="24"/>
          <w:szCs w:val="24"/>
        </w:rPr>
        <w:t>section 166 of the Act;</w:t>
      </w:r>
    </w:p>
    <w:p w:rsidR="000011E9" w:rsidRPr="00563989" w:rsidRDefault="0058769F" w:rsidP="00563989">
      <w:pPr>
        <w:pStyle w:val="ListParagraph"/>
        <w:numPr>
          <w:ilvl w:val="2"/>
          <w:numId w:val="7"/>
        </w:numPr>
        <w:tabs>
          <w:tab w:val="left" w:pos="1276"/>
          <w:tab w:val="left" w:pos="2221"/>
        </w:tabs>
        <w:spacing w:line="360" w:lineRule="auto"/>
        <w:ind w:left="851" w:right="120" w:hanging="425"/>
        <w:rPr>
          <w:rFonts w:asciiTheme="minorHAnsi" w:hAnsiTheme="minorHAnsi" w:cstheme="minorHAnsi"/>
          <w:w w:val="105"/>
          <w:sz w:val="24"/>
          <w:szCs w:val="24"/>
        </w:rPr>
      </w:pPr>
      <w:r w:rsidRPr="00563989">
        <w:rPr>
          <w:rFonts w:asciiTheme="minorHAnsi" w:hAnsiTheme="minorHAnsi" w:cstheme="minorHAnsi"/>
          <w:w w:val="105"/>
          <w:sz w:val="24"/>
          <w:szCs w:val="24"/>
        </w:rPr>
        <w:t>“Fossil Fuel” means fuels such as coal, lignite, gas, liquid fuel or combination of these as its primary source of energy, which are used in Thermal Generating Station for generating electricity;</w:t>
      </w:r>
    </w:p>
    <w:p w:rsidR="000011E9" w:rsidRPr="00563989" w:rsidRDefault="0058769F" w:rsidP="00563989">
      <w:pPr>
        <w:pStyle w:val="ListParagraph"/>
        <w:numPr>
          <w:ilvl w:val="2"/>
          <w:numId w:val="7"/>
        </w:numPr>
        <w:tabs>
          <w:tab w:val="left" w:pos="1276"/>
          <w:tab w:val="left" w:pos="2230"/>
        </w:tabs>
        <w:spacing w:before="131" w:line="360" w:lineRule="auto"/>
        <w:ind w:left="851" w:right="117" w:hanging="425"/>
        <w:rPr>
          <w:rFonts w:asciiTheme="minorHAnsi" w:hAnsiTheme="minorHAnsi" w:cstheme="minorHAnsi"/>
          <w:w w:val="105"/>
          <w:sz w:val="24"/>
          <w:szCs w:val="24"/>
        </w:rPr>
      </w:pPr>
      <w:r w:rsidRPr="00563989">
        <w:rPr>
          <w:rFonts w:asciiTheme="minorHAnsi" w:hAnsiTheme="minorHAnsi" w:cstheme="minorHAnsi"/>
          <w:w w:val="105"/>
          <w:sz w:val="24"/>
          <w:szCs w:val="24"/>
        </w:rPr>
        <w:t xml:space="preserve">“Green Energy” means the electrical energy from renewable sources of energy including hydro and storage (if the storage uses renewable energy) or any other technology as may be notified by the Government of India from time to time and shall also include any mechanism that </w:t>
      </w:r>
      <w:r w:rsidR="00790B06" w:rsidRPr="00563989">
        <w:rPr>
          <w:rFonts w:asciiTheme="minorHAnsi" w:hAnsiTheme="minorHAnsi" w:cstheme="minorHAnsi"/>
          <w:w w:val="105"/>
          <w:sz w:val="24"/>
          <w:szCs w:val="24"/>
        </w:rPr>
        <w:t>utilizes</w:t>
      </w:r>
      <w:r w:rsidRPr="00563989">
        <w:rPr>
          <w:rFonts w:asciiTheme="minorHAnsi" w:hAnsiTheme="minorHAnsi" w:cstheme="minorHAnsi"/>
          <w:w w:val="105"/>
          <w:sz w:val="24"/>
          <w:szCs w:val="24"/>
        </w:rPr>
        <w:t xml:space="preserve"> green energy to replace fossil fuels including production of green hydrogen or green ammonia as per provision of clause G of sub-rule (2) of rule 4 of Green Energy Open Access Rules, 2022;</w:t>
      </w:r>
    </w:p>
    <w:p w:rsidR="000011E9" w:rsidRPr="000F6286" w:rsidRDefault="0058769F" w:rsidP="000F6286">
      <w:pPr>
        <w:pStyle w:val="ListParagraph"/>
        <w:numPr>
          <w:ilvl w:val="2"/>
          <w:numId w:val="7"/>
        </w:numPr>
        <w:tabs>
          <w:tab w:val="left" w:pos="1276"/>
          <w:tab w:val="left" w:pos="2230"/>
        </w:tabs>
        <w:spacing w:before="134" w:line="360" w:lineRule="auto"/>
        <w:ind w:left="851" w:right="119" w:hanging="425"/>
        <w:rPr>
          <w:rFonts w:asciiTheme="minorHAnsi" w:hAnsiTheme="minorHAnsi" w:cstheme="minorHAnsi"/>
          <w:w w:val="105"/>
          <w:sz w:val="24"/>
          <w:szCs w:val="24"/>
        </w:rPr>
      </w:pPr>
      <w:r w:rsidRPr="00563989">
        <w:rPr>
          <w:rFonts w:asciiTheme="minorHAnsi" w:hAnsiTheme="minorHAnsi" w:cstheme="minorHAnsi"/>
          <w:w w:val="105"/>
          <w:sz w:val="24"/>
          <w:szCs w:val="24"/>
        </w:rPr>
        <w:t>“Green Open Access Consumer” means any person who has contracted demand or sanctioned load of 100kW or more or such other limit as may be specified by Commission from time to time, except for captive consumers, who are supplied with electricity from green energy sources for their own use by a licensee or the Government or by any other person engaged in the business of supplying electricity to the public under this Act or any other law for the time being in force and includes any person whose premises are for the time being connected for the purpose of receiving green energy with the works of a licensee, the</w:t>
      </w:r>
      <w:r w:rsidR="000F6286">
        <w:rPr>
          <w:rFonts w:asciiTheme="minorHAnsi" w:hAnsiTheme="minorHAnsi" w:cstheme="minorHAnsi"/>
          <w:w w:val="105"/>
          <w:sz w:val="24"/>
          <w:szCs w:val="24"/>
        </w:rPr>
        <w:t xml:space="preserve"> </w:t>
      </w:r>
      <w:r w:rsidRPr="000F6286">
        <w:rPr>
          <w:rFonts w:asciiTheme="minorHAnsi" w:hAnsiTheme="minorHAnsi" w:cstheme="minorHAnsi"/>
          <w:w w:val="105"/>
          <w:sz w:val="24"/>
          <w:szCs w:val="24"/>
        </w:rPr>
        <w:t>Government or such person, as the case may be.</w:t>
      </w:r>
    </w:p>
    <w:p w:rsidR="000011E9" w:rsidRPr="00563989" w:rsidRDefault="000011E9" w:rsidP="00563989">
      <w:pPr>
        <w:pStyle w:val="BodyText"/>
        <w:tabs>
          <w:tab w:val="left" w:pos="1276"/>
        </w:tabs>
        <w:spacing w:before="8"/>
        <w:ind w:left="851" w:hanging="425"/>
        <w:rPr>
          <w:rFonts w:asciiTheme="minorHAnsi" w:hAnsiTheme="minorHAnsi" w:cstheme="minorHAnsi"/>
          <w:w w:val="105"/>
          <w:sz w:val="24"/>
          <w:szCs w:val="24"/>
        </w:rPr>
      </w:pPr>
    </w:p>
    <w:p w:rsidR="000011E9" w:rsidRPr="000F6286" w:rsidRDefault="0058769F" w:rsidP="00563989">
      <w:pPr>
        <w:pStyle w:val="ListParagraph"/>
        <w:numPr>
          <w:ilvl w:val="2"/>
          <w:numId w:val="7"/>
        </w:numPr>
        <w:tabs>
          <w:tab w:val="left" w:pos="1276"/>
          <w:tab w:val="left" w:pos="2220"/>
          <w:tab w:val="left" w:pos="2221"/>
        </w:tabs>
        <w:spacing w:before="172"/>
        <w:ind w:left="851" w:hanging="425"/>
        <w:rPr>
          <w:rFonts w:asciiTheme="minorHAnsi" w:hAnsiTheme="minorHAnsi" w:cstheme="minorHAnsi"/>
          <w:w w:val="105"/>
          <w:sz w:val="24"/>
          <w:szCs w:val="24"/>
        </w:rPr>
      </w:pPr>
      <w:r w:rsidRPr="000F6286">
        <w:rPr>
          <w:rFonts w:asciiTheme="minorHAnsi" w:hAnsiTheme="minorHAnsi" w:cstheme="minorHAnsi"/>
          <w:w w:val="105"/>
          <w:sz w:val="24"/>
          <w:szCs w:val="24"/>
        </w:rPr>
        <w:t>“Rules” means the Electricity (Promoting Renewable Energy Through Green</w:t>
      </w:r>
      <w:r w:rsidR="000F6286">
        <w:rPr>
          <w:rFonts w:asciiTheme="minorHAnsi" w:hAnsiTheme="minorHAnsi" w:cstheme="minorHAnsi"/>
          <w:w w:val="105"/>
          <w:sz w:val="24"/>
          <w:szCs w:val="24"/>
        </w:rPr>
        <w:t xml:space="preserve"> </w:t>
      </w:r>
      <w:r w:rsidRPr="000F6286">
        <w:rPr>
          <w:rFonts w:asciiTheme="minorHAnsi" w:hAnsiTheme="minorHAnsi" w:cstheme="minorHAnsi"/>
          <w:w w:val="105"/>
          <w:sz w:val="24"/>
          <w:szCs w:val="24"/>
        </w:rPr>
        <w:t>Energy Open Access) Rules, 2022 and subsequent amendments;</w:t>
      </w:r>
    </w:p>
    <w:p w:rsidR="000011E9" w:rsidRPr="00563989" w:rsidRDefault="000011E9" w:rsidP="00563989">
      <w:pPr>
        <w:pStyle w:val="BodyText"/>
        <w:tabs>
          <w:tab w:val="left" w:pos="1276"/>
        </w:tabs>
        <w:spacing w:before="5"/>
        <w:ind w:left="851" w:hanging="425"/>
        <w:rPr>
          <w:rFonts w:asciiTheme="minorHAnsi" w:hAnsiTheme="minorHAnsi" w:cstheme="minorHAnsi"/>
          <w:w w:val="105"/>
          <w:sz w:val="24"/>
          <w:szCs w:val="24"/>
        </w:rPr>
      </w:pPr>
    </w:p>
    <w:p w:rsidR="000011E9" w:rsidRPr="00563989" w:rsidRDefault="0058769F" w:rsidP="00563989">
      <w:pPr>
        <w:pStyle w:val="ListParagraph"/>
        <w:numPr>
          <w:ilvl w:val="2"/>
          <w:numId w:val="7"/>
        </w:numPr>
        <w:tabs>
          <w:tab w:val="left" w:pos="1276"/>
          <w:tab w:val="left" w:pos="2220"/>
          <w:tab w:val="left" w:pos="2221"/>
        </w:tabs>
        <w:ind w:left="851" w:hanging="425"/>
        <w:rPr>
          <w:rFonts w:asciiTheme="minorHAnsi" w:hAnsiTheme="minorHAnsi" w:cstheme="minorHAnsi"/>
          <w:w w:val="105"/>
          <w:sz w:val="24"/>
          <w:szCs w:val="24"/>
        </w:rPr>
      </w:pPr>
      <w:r w:rsidRPr="00563989">
        <w:rPr>
          <w:rFonts w:asciiTheme="minorHAnsi" w:hAnsiTheme="minorHAnsi" w:cstheme="minorHAnsi"/>
          <w:w w:val="105"/>
          <w:sz w:val="24"/>
          <w:szCs w:val="24"/>
        </w:rPr>
        <w:t>“SERC” means the State Electricity Regulatory Commission;</w:t>
      </w:r>
    </w:p>
    <w:p w:rsidR="000011E9" w:rsidRPr="00563989" w:rsidRDefault="000011E9" w:rsidP="00563989">
      <w:pPr>
        <w:pStyle w:val="BodyText"/>
        <w:tabs>
          <w:tab w:val="left" w:pos="1276"/>
        </w:tabs>
        <w:spacing w:before="7"/>
        <w:ind w:left="851" w:hanging="425"/>
        <w:rPr>
          <w:rFonts w:asciiTheme="minorHAnsi" w:hAnsiTheme="minorHAnsi" w:cstheme="minorHAnsi"/>
          <w:w w:val="105"/>
          <w:sz w:val="24"/>
          <w:szCs w:val="24"/>
        </w:rPr>
      </w:pPr>
    </w:p>
    <w:p w:rsidR="000011E9" w:rsidRPr="00563989" w:rsidRDefault="0058769F" w:rsidP="00563989">
      <w:pPr>
        <w:pStyle w:val="ListParagraph"/>
        <w:numPr>
          <w:ilvl w:val="2"/>
          <w:numId w:val="7"/>
        </w:numPr>
        <w:tabs>
          <w:tab w:val="left" w:pos="1276"/>
          <w:tab w:val="left" w:pos="2221"/>
        </w:tabs>
        <w:spacing w:line="360" w:lineRule="auto"/>
        <w:ind w:left="851" w:right="115" w:hanging="425"/>
        <w:rPr>
          <w:rFonts w:asciiTheme="minorHAnsi" w:hAnsiTheme="minorHAnsi" w:cstheme="minorHAnsi"/>
          <w:w w:val="105"/>
          <w:sz w:val="24"/>
          <w:szCs w:val="24"/>
        </w:rPr>
      </w:pPr>
      <w:r w:rsidRPr="00563989">
        <w:rPr>
          <w:rFonts w:asciiTheme="minorHAnsi" w:hAnsiTheme="minorHAnsi" w:cstheme="minorHAnsi"/>
          <w:w w:val="105"/>
          <w:sz w:val="24"/>
          <w:szCs w:val="24"/>
        </w:rPr>
        <w:lastRenderedPageBreak/>
        <w:t>“Standby charges” means the charges applicable to green energy open access consumers against the standby arrangement provided by the distribution licensee, in case such green energy open access consumer is unable to procure/schedule power from the generating sources with whom they have the agreements to procure power due to outages of generator, transmission systems and the like;</w:t>
      </w:r>
    </w:p>
    <w:p w:rsidR="000011E9" w:rsidRPr="00563989" w:rsidRDefault="0058769F" w:rsidP="00563989">
      <w:pPr>
        <w:pStyle w:val="ListParagraph"/>
        <w:numPr>
          <w:ilvl w:val="1"/>
          <w:numId w:val="7"/>
        </w:numPr>
        <w:tabs>
          <w:tab w:val="left" w:pos="1276"/>
        </w:tabs>
        <w:spacing w:before="233" w:line="391" w:lineRule="auto"/>
        <w:ind w:left="851" w:right="265" w:hanging="425"/>
        <w:rPr>
          <w:rFonts w:asciiTheme="minorHAnsi" w:hAnsiTheme="minorHAnsi" w:cstheme="minorHAnsi"/>
          <w:w w:val="105"/>
          <w:sz w:val="24"/>
          <w:szCs w:val="24"/>
        </w:rPr>
      </w:pPr>
      <w:r w:rsidRPr="00563989">
        <w:rPr>
          <w:rFonts w:asciiTheme="minorHAnsi" w:hAnsiTheme="minorHAnsi" w:cstheme="minorHAnsi"/>
          <w:w w:val="105"/>
          <w:sz w:val="24"/>
          <w:szCs w:val="24"/>
        </w:rPr>
        <w:t>Words and expressions used and not defined in these regulations but defined in the Act or IEGC or any other regulation of the Appropriate Commission shall have the meaning assigned to them under the Act or the IEGC or the State Grid Code or any other regulation of the Commission as the case may be.</w:t>
      </w:r>
    </w:p>
    <w:p w:rsidR="000011E9" w:rsidRPr="00563989" w:rsidRDefault="000011E9">
      <w:pPr>
        <w:pStyle w:val="BodyText"/>
        <w:rPr>
          <w:rFonts w:asciiTheme="minorHAnsi" w:hAnsiTheme="minorHAnsi" w:cstheme="minorHAnsi"/>
          <w:w w:val="105"/>
          <w:sz w:val="24"/>
          <w:szCs w:val="24"/>
        </w:rPr>
      </w:pPr>
    </w:p>
    <w:p w:rsidR="000011E9" w:rsidRPr="000F6286" w:rsidRDefault="0058769F">
      <w:pPr>
        <w:pStyle w:val="Heading2"/>
        <w:numPr>
          <w:ilvl w:val="0"/>
          <w:numId w:val="7"/>
        </w:numPr>
        <w:tabs>
          <w:tab w:val="left" w:pos="832"/>
          <w:tab w:val="left" w:pos="833"/>
        </w:tabs>
        <w:spacing w:before="157"/>
        <w:jc w:val="both"/>
        <w:rPr>
          <w:rFonts w:asciiTheme="minorHAnsi" w:hAnsiTheme="minorHAnsi" w:cstheme="minorHAnsi"/>
          <w:w w:val="105"/>
        </w:rPr>
      </w:pPr>
      <w:r w:rsidRPr="000F6286">
        <w:rPr>
          <w:rFonts w:asciiTheme="minorHAnsi" w:hAnsiTheme="minorHAnsi" w:cstheme="minorHAnsi"/>
          <w:w w:val="105"/>
        </w:rPr>
        <w:t>Scope</w:t>
      </w:r>
    </w:p>
    <w:p w:rsidR="000011E9" w:rsidRPr="00563989" w:rsidRDefault="0058769F">
      <w:pPr>
        <w:pStyle w:val="BodyText"/>
        <w:spacing w:before="129" w:line="391" w:lineRule="auto"/>
        <w:ind w:left="832" w:right="114"/>
        <w:jc w:val="both"/>
        <w:rPr>
          <w:rFonts w:asciiTheme="minorHAnsi" w:hAnsiTheme="minorHAnsi" w:cstheme="minorHAnsi"/>
          <w:w w:val="105"/>
          <w:sz w:val="24"/>
          <w:szCs w:val="24"/>
        </w:rPr>
      </w:pPr>
      <w:r w:rsidRPr="00563989">
        <w:rPr>
          <w:rFonts w:asciiTheme="minorHAnsi" w:hAnsiTheme="minorHAnsi" w:cstheme="minorHAnsi"/>
          <w:w w:val="105"/>
          <w:sz w:val="24"/>
          <w:szCs w:val="24"/>
        </w:rPr>
        <w:t>These regulations shall be applicable for allowing Open Access to electricity generated from green energy sources as defined under clause (1) (</w:t>
      </w:r>
      <w:proofErr w:type="spellStart"/>
      <w:r w:rsidRPr="00563989">
        <w:rPr>
          <w:rFonts w:asciiTheme="minorHAnsi" w:hAnsiTheme="minorHAnsi" w:cstheme="minorHAnsi"/>
          <w:w w:val="105"/>
          <w:sz w:val="24"/>
          <w:szCs w:val="24"/>
        </w:rPr>
        <w:t>i</w:t>
      </w:r>
      <w:proofErr w:type="spellEnd"/>
      <w:r w:rsidRPr="00563989">
        <w:rPr>
          <w:rFonts w:asciiTheme="minorHAnsi" w:hAnsiTheme="minorHAnsi" w:cstheme="minorHAnsi"/>
          <w:w w:val="105"/>
          <w:sz w:val="24"/>
          <w:szCs w:val="24"/>
        </w:rPr>
        <w:t>) of Regulation 3 of these Regulations, including the energy from non-fossil fuel-based Waste-to-Energy plant for use of Intra-State Transmission System (</w:t>
      </w:r>
      <w:proofErr w:type="spellStart"/>
      <w:r w:rsidRPr="00563989">
        <w:rPr>
          <w:rFonts w:asciiTheme="minorHAnsi" w:hAnsiTheme="minorHAnsi" w:cstheme="minorHAnsi"/>
          <w:w w:val="105"/>
          <w:sz w:val="24"/>
          <w:szCs w:val="24"/>
        </w:rPr>
        <w:t>I</w:t>
      </w:r>
      <w:r w:rsidR="002C47B4">
        <w:rPr>
          <w:rFonts w:asciiTheme="minorHAnsi" w:hAnsiTheme="minorHAnsi" w:cstheme="minorHAnsi"/>
          <w:w w:val="105"/>
          <w:sz w:val="24"/>
          <w:szCs w:val="24"/>
        </w:rPr>
        <w:t>n</w:t>
      </w:r>
      <w:r w:rsidRPr="00563989">
        <w:rPr>
          <w:rFonts w:asciiTheme="minorHAnsi" w:hAnsiTheme="minorHAnsi" w:cstheme="minorHAnsi"/>
          <w:w w:val="105"/>
          <w:sz w:val="24"/>
          <w:szCs w:val="24"/>
        </w:rPr>
        <w:t>STS</w:t>
      </w:r>
      <w:proofErr w:type="spellEnd"/>
      <w:r w:rsidRPr="00563989">
        <w:rPr>
          <w:rFonts w:asciiTheme="minorHAnsi" w:hAnsiTheme="minorHAnsi" w:cstheme="minorHAnsi"/>
          <w:w w:val="105"/>
          <w:sz w:val="24"/>
          <w:szCs w:val="24"/>
        </w:rPr>
        <w:t>) or distribution system or both, which are incidental to Inter- State Transmission of electricity.</w:t>
      </w:r>
    </w:p>
    <w:p w:rsidR="000011E9" w:rsidRDefault="000011E9">
      <w:pPr>
        <w:pStyle w:val="BodyText"/>
        <w:rPr>
          <w:sz w:val="26"/>
        </w:rPr>
      </w:pPr>
    </w:p>
    <w:p w:rsidR="000011E9" w:rsidRDefault="000011E9">
      <w:pPr>
        <w:pStyle w:val="BodyText"/>
        <w:spacing w:before="4"/>
        <w:rPr>
          <w:sz w:val="27"/>
        </w:rPr>
      </w:pPr>
    </w:p>
    <w:p w:rsidR="000011E9" w:rsidRDefault="0058769F">
      <w:pPr>
        <w:pStyle w:val="Heading1"/>
        <w:ind w:right="1471"/>
      </w:pPr>
      <w:r>
        <w:rPr>
          <w:w w:val="105"/>
        </w:rPr>
        <w:t>CHAPTER</w:t>
      </w:r>
      <w:r>
        <w:rPr>
          <w:spacing w:val="-3"/>
          <w:w w:val="105"/>
        </w:rPr>
        <w:t xml:space="preserve"> </w:t>
      </w:r>
      <w:r>
        <w:rPr>
          <w:w w:val="105"/>
        </w:rPr>
        <w:t>2</w:t>
      </w:r>
    </w:p>
    <w:p w:rsidR="000011E9" w:rsidRDefault="0058769F" w:rsidP="000F6286">
      <w:pPr>
        <w:spacing w:before="171"/>
        <w:ind w:right="4"/>
        <w:jc w:val="center"/>
        <w:rPr>
          <w:b/>
          <w:sz w:val="26"/>
        </w:rPr>
      </w:pPr>
      <w:r>
        <w:rPr>
          <w:b/>
          <w:w w:val="115"/>
          <w:sz w:val="26"/>
        </w:rPr>
        <w:t>GREEN</w:t>
      </w:r>
      <w:r>
        <w:rPr>
          <w:b/>
          <w:spacing w:val="-1"/>
          <w:w w:val="115"/>
          <w:sz w:val="26"/>
        </w:rPr>
        <w:t xml:space="preserve"> </w:t>
      </w:r>
      <w:r>
        <w:rPr>
          <w:b/>
          <w:w w:val="115"/>
          <w:sz w:val="26"/>
        </w:rPr>
        <w:t>ENERGY</w:t>
      </w:r>
      <w:r>
        <w:rPr>
          <w:b/>
          <w:spacing w:val="-3"/>
          <w:w w:val="115"/>
          <w:sz w:val="26"/>
        </w:rPr>
        <w:t xml:space="preserve"> </w:t>
      </w:r>
      <w:r>
        <w:rPr>
          <w:b/>
          <w:w w:val="115"/>
          <w:sz w:val="26"/>
        </w:rPr>
        <w:t>OPEN ACCESS</w:t>
      </w:r>
      <w:r>
        <w:rPr>
          <w:b/>
          <w:spacing w:val="-3"/>
          <w:w w:val="115"/>
          <w:sz w:val="26"/>
        </w:rPr>
        <w:t xml:space="preserve"> </w:t>
      </w:r>
      <w:r>
        <w:rPr>
          <w:b/>
          <w:w w:val="115"/>
          <w:sz w:val="26"/>
        </w:rPr>
        <w:t>CHARGES</w:t>
      </w:r>
    </w:p>
    <w:p w:rsidR="000011E9" w:rsidRDefault="000011E9">
      <w:pPr>
        <w:pStyle w:val="BodyText"/>
        <w:rPr>
          <w:b/>
          <w:sz w:val="30"/>
        </w:rPr>
      </w:pPr>
    </w:p>
    <w:p w:rsidR="000011E9" w:rsidRDefault="000011E9">
      <w:pPr>
        <w:pStyle w:val="BodyText"/>
        <w:spacing w:before="10"/>
        <w:rPr>
          <w:b/>
          <w:sz w:val="27"/>
        </w:rPr>
      </w:pPr>
    </w:p>
    <w:p w:rsidR="000011E9" w:rsidRDefault="0058769F">
      <w:pPr>
        <w:pStyle w:val="Heading2"/>
        <w:numPr>
          <w:ilvl w:val="0"/>
          <w:numId w:val="7"/>
        </w:numPr>
        <w:tabs>
          <w:tab w:val="left" w:pos="833"/>
        </w:tabs>
        <w:jc w:val="both"/>
      </w:pPr>
      <w:r>
        <w:t>Charges</w:t>
      </w:r>
      <w:r>
        <w:rPr>
          <w:spacing w:val="-3"/>
        </w:rPr>
        <w:t xml:space="preserve"> </w:t>
      </w:r>
      <w:r>
        <w:t>for</w:t>
      </w:r>
      <w:r>
        <w:rPr>
          <w:spacing w:val="-3"/>
        </w:rPr>
        <w:t xml:space="preserve"> </w:t>
      </w:r>
      <w:r>
        <w:t>Green</w:t>
      </w:r>
      <w:r>
        <w:rPr>
          <w:spacing w:val="-3"/>
        </w:rPr>
        <w:t xml:space="preserve"> </w:t>
      </w:r>
      <w:r>
        <w:t>Energy</w:t>
      </w:r>
      <w:r>
        <w:rPr>
          <w:spacing w:val="-2"/>
        </w:rPr>
        <w:t xml:space="preserve"> </w:t>
      </w:r>
      <w:r>
        <w:t>Open</w:t>
      </w:r>
      <w:r>
        <w:rPr>
          <w:spacing w:val="-4"/>
        </w:rPr>
        <w:t xml:space="preserve"> </w:t>
      </w:r>
      <w:r>
        <w:t>Access</w:t>
      </w:r>
    </w:p>
    <w:p w:rsidR="000011E9" w:rsidRDefault="000011E9">
      <w:pPr>
        <w:pStyle w:val="BodyText"/>
        <w:spacing w:before="7"/>
        <w:rPr>
          <w:b/>
          <w:sz w:val="28"/>
        </w:rPr>
      </w:pPr>
    </w:p>
    <w:p w:rsidR="000011E9" w:rsidRPr="009440E6" w:rsidRDefault="0058769F">
      <w:pPr>
        <w:pStyle w:val="BodyText"/>
        <w:ind w:left="565"/>
        <w:rPr>
          <w:rFonts w:asciiTheme="minorHAnsi" w:hAnsiTheme="minorHAnsi" w:cstheme="minorHAnsi"/>
          <w:w w:val="105"/>
          <w:sz w:val="24"/>
          <w:szCs w:val="24"/>
        </w:rPr>
      </w:pPr>
      <w:r w:rsidRPr="009440E6">
        <w:rPr>
          <w:rFonts w:asciiTheme="minorHAnsi" w:hAnsiTheme="minorHAnsi" w:cstheme="minorHAnsi"/>
          <w:w w:val="105"/>
          <w:sz w:val="24"/>
          <w:szCs w:val="24"/>
        </w:rPr>
        <w:t>The charges on Green Energy Open Access consumers shall be as follows: -</w:t>
      </w:r>
    </w:p>
    <w:p w:rsidR="000011E9" w:rsidRPr="009440E6" w:rsidRDefault="0058769F">
      <w:pPr>
        <w:pStyle w:val="ListParagraph"/>
        <w:numPr>
          <w:ilvl w:val="1"/>
          <w:numId w:val="7"/>
        </w:numPr>
        <w:tabs>
          <w:tab w:val="left" w:pos="1188"/>
        </w:tabs>
        <w:spacing w:before="162"/>
        <w:ind w:left="1187" w:hanging="356"/>
        <w:rPr>
          <w:rFonts w:asciiTheme="minorHAnsi" w:hAnsiTheme="minorHAnsi" w:cstheme="minorHAnsi"/>
          <w:w w:val="105"/>
          <w:sz w:val="24"/>
          <w:szCs w:val="24"/>
        </w:rPr>
      </w:pPr>
      <w:r w:rsidRPr="009440E6">
        <w:rPr>
          <w:rFonts w:asciiTheme="minorHAnsi" w:hAnsiTheme="minorHAnsi" w:cstheme="minorHAnsi"/>
          <w:w w:val="105"/>
          <w:sz w:val="24"/>
          <w:szCs w:val="24"/>
        </w:rPr>
        <w:t>Transmission charges;</w:t>
      </w:r>
    </w:p>
    <w:p w:rsidR="000011E9" w:rsidRPr="009440E6" w:rsidRDefault="0058769F" w:rsidP="009440E6">
      <w:pPr>
        <w:pStyle w:val="ListParagraph"/>
        <w:numPr>
          <w:ilvl w:val="1"/>
          <w:numId w:val="7"/>
        </w:numPr>
        <w:tabs>
          <w:tab w:val="left" w:pos="1188"/>
        </w:tabs>
        <w:spacing w:before="167" w:line="360" w:lineRule="auto"/>
        <w:ind w:left="1187" w:hanging="356"/>
        <w:rPr>
          <w:rFonts w:asciiTheme="minorHAnsi" w:hAnsiTheme="minorHAnsi" w:cstheme="minorHAnsi"/>
          <w:w w:val="105"/>
          <w:sz w:val="24"/>
          <w:szCs w:val="24"/>
        </w:rPr>
      </w:pPr>
      <w:r w:rsidRPr="009440E6">
        <w:rPr>
          <w:rFonts w:asciiTheme="minorHAnsi" w:hAnsiTheme="minorHAnsi" w:cstheme="minorHAnsi"/>
          <w:w w:val="105"/>
          <w:sz w:val="24"/>
          <w:szCs w:val="24"/>
        </w:rPr>
        <w:t>Wheeling charges;</w:t>
      </w:r>
    </w:p>
    <w:p w:rsidR="000011E9" w:rsidRPr="009440E6" w:rsidRDefault="0058769F" w:rsidP="009440E6">
      <w:pPr>
        <w:pStyle w:val="ListParagraph"/>
        <w:numPr>
          <w:ilvl w:val="1"/>
          <w:numId w:val="7"/>
        </w:numPr>
        <w:tabs>
          <w:tab w:val="left" w:pos="1188"/>
        </w:tabs>
        <w:spacing w:before="79" w:line="276" w:lineRule="auto"/>
        <w:ind w:left="1187" w:hanging="356"/>
        <w:rPr>
          <w:rFonts w:asciiTheme="minorHAnsi" w:hAnsiTheme="minorHAnsi" w:cstheme="minorHAnsi"/>
          <w:w w:val="105"/>
          <w:sz w:val="24"/>
          <w:szCs w:val="24"/>
        </w:rPr>
      </w:pPr>
      <w:r w:rsidRPr="009440E6">
        <w:rPr>
          <w:rFonts w:asciiTheme="minorHAnsi" w:hAnsiTheme="minorHAnsi" w:cstheme="minorHAnsi"/>
          <w:w w:val="105"/>
          <w:sz w:val="24"/>
          <w:szCs w:val="24"/>
        </w:rPr>
        <w:t>Cross subsidy Surcharge;</w:t>
      </w:r>
    </w:p>
    <w:p w:rsidR="000011E9" w:rsidRPr="009440E6" w:rsidRDefault="0058769F" w:rsidP="009440E6">
      <w:pPr>
        <w:pStyle w:val="ListParagraph"/>
        <w:numPr>
          <w:ilvl w:val="1"/>
          <w:numId w:val="7"/>
        </w:numPr>
        <w:tabs>
          <w:tab w:val="left" w:pos="1188"/>
        </w:tabs>
        <w:spacing w:before="165" w:line="276" w:lineRule="auto"/>
        <w:ind w:left="1187" w:hanging="356"/>
        <w:rPr>
          <w:rFonts w:asciiTheme="minorHAnsi" w:hAnsiTheme="minorHAnsi" w:cstheme="minorHAnsi"/>
          <w:w w:val="105"/>
          <w:sz w:val="24"/>
          <w:szCs w:val="24"/>
        </w:rPr>
      </w:pPr>
      <w:r w:rsidRPr="009440E6">
        <w:rPr>
          <w:rFonts w:asciiTheme="minorHAnsi" w:hAnsiTheme="minorHAnsi" w:cstheme="minorHAnsi"/>
          <w:w w:val="105"/>
          <w:sz w:val="24"/>
          <w:szCs w:val="24"/>
        </w:rPr>
        <w:t>Standby charges wherever applicable;</w:t>
      </w:r>
    </w:p>
    <w:p w:rsidR="000011E9" w:rsidRPr="009440E6" w:rsidRDefault="0058769F" w:rsidP="009440E6">
      <w:pPr>
        <w:pStyle w:val="ListParagraph"/>
        <w:numPr>
          <w:ilvl w:val="1"/>
          <w:numId w:val="7"/>
        </w:numPr>
        <w:tabs>
          <w:tab w:val="left" w:pos="1188"/>
        </w:tabs>
        <w:spacing w:before="165" w:line="276" w:lineRule="auto"/>
        <w:ind w:left="1187" w:hanging="356"/>
        <w:rPr>
          <w:rFonts w:asciiTheme="minorHAnsi" w:hAnsiTheme="minorHAnsi" w:cstheme="minorHAnsi"/>
          <w:w w:val="105"/>
          <w:sz w:val="24"/>
          <w:szCs w:val="24"/>
        </w:rPr>
      </w:pPr>
      <w:r w:rsidRPr="009440E6">
        <w:rPr>
          <w:rFonts w:asciiTheme="minorHAnsi" w:hAnsiTheme="minorHAnsi" w:cstheme="minorHAnsi"/>
          <w:w w:val="105"/>
          <w:sz w:val="24"/>
          <w:szCs w:val="24"/>
        </w:rPr>
        <w:t>Banking Charge and</w:t>
      </w:r>
    </w:p>
    <w:p w:rsidR="000011E9" w:rsidRPr="0031603D" w:rsidRDefault="0058769F">
      <w:pPr>
        <w:pStyle w:val="ListParagraph"/>
        <w:numPr>
          <w:ilvl w:val="1"/>
          <w:numId w:val="7"/>
        </w:numPr>
        <w:tabs>
          <w:tab w:val="left" w:pos="1270"/>
        </w:tabs>
        <w:spacing w:before="167" w:line="391" w:lineRule="auto"/>
        <w:ind w:left="832" w:right="271" w:firstLine="0"/>
      </w:pPr>
      <w:r w:rsidRPr="009440E6">
        <w:rPr>
          <w:rFonts w:asciiTheme="minorHAnsi" w:hAnsiTheme="minorHAnsi" w:cstheme="minorHAnsi"/>
          <w:w w:val="105"/>
          <w:sz w:val="24"/>
          <w:szCs w:val="24"/>
        </w:rPr>
        <w:t>Other fees and charges such as SLDC fees and scheduling charges, deviation settlement (DSM) charges as per the relevant regulations of the Commission.</w:t>
      </w:r>
    </w:p>
    <w:p w:rsidR="0031603D" w:rsidRDefault="0031603D" w:rsidP="0031603D">
      <w:pPr>
        <w:tabs>
          <w:tab w:val="left" w:pos="1270"/>
        </w:tabs>
        <w:spacing w:before="167" w:line="391" w:lineRule="auto"/>
        <w:ind w:right="271"/>
      </w:pPr>
    </w:p>
    <w:p w:rsidR="0031603D" w:rsidRDefault="0031603D" w:rsidP="0031603D">
      <w:pPr>
        <w:tabs>
          <w:tab w:val="left" w:pos="1270"/>
        </w:tabs>
        <w:spacing w:before="167" w:line="391" w:lineRule="auto"/>
        <w:ind w:right="271"/>
      </w:pPr>
    </w:p>
    <w:p w:rsidR="000011E9" w:rsidRDefault="0058769F">
      <w:pPr>
        <w:pStyle w:val="Heading2"/>
        <w:numPr>
          <w:ilvl w:val="0"/>
          <w:numId w:val="7"/>
        </w:numPr>
        <w:tabs>
          <w:tab w:val="left" w:pos="514"/>
        </w:tabs>
        <w:spacing w:before="1"/>
        <w:ind w:left="513" w:hanging="361"/>
        <w:jc w:val="left"/>
      </w:pPr>
      <w:r>
        <w:t>Transmission</w:t>
      </w:r>
      <w:r>
        <w:rPr>
          <w:spacing w:val="-5"/>
        </w:rPr>
        <w:t xml:space="preserve"> </w:t>
      </w:r>
      <w:r>
        <w:t>Charges</w:t>
      </w:r>
    </w:p>
    <w:p w:rsidR="000011E9" w:rsidRDefault="000011E9">
      <w:pPr>
        <w:pStyle w:val="BodyText"/>
        <w:spacing w:before="3"/>
        <w:rPr>
          <w:b/>
          <w:sz w:val="39"/>
        </w:rPr>
      </w:pPr>
    </w:p>
    <w:p w:rsidR="0031603D" w:rsidRPr="0031603D" w:rsidRDefault="0058769F" w:rsidP="00D42916">
      <w:pPr>
        <w:pStyle w:val="ListParagraph"/>
        <w:numPr>
          <w:ilvl w:val="0"/>
          <w:numId w:val="6"/>
        </w:numPr>
        <w:tabs>
          <w:tab w:val="left" w:pos="1512"/>
        </w:tabs>
        <w:spacing w:line="391" w:lineRule="auto"/>
        <w:ind w:left="993" w:right="1049" w:hanging="426"/>
      </w:pPr>
      <w:r>
        <w:rPr>
          <w:b/>
          <w:w w:val="105"/>
        </w:rPr>
        <w:t>For</w:t>
      </w:r>
      <w:r>
        <w:rPr>
          <w:b/>
          <w:spacing w:val="4"/>
          <w:w w:val="105"/>
        </w:rPr>
        <w:t xml:space="preserve"> </w:t>
      </w:r>
      <w:r>
        <w:rPr>
          <w:b/>
          <w:w w:val="105"/>
        </w:rPr>
        <w:t>use</w:t>
      </w:r>
      <w:r>
        <w:rPr>
          <w:b/>
          <w:spacing w:val="6"/>
          <w:w w:val="105"/>
        </w:rPr>
        <w:t xml:space="preserve"> </w:t>
      </w:r>
      <w:r>
        <w:rPr>
          <w:b/>
          <w:w w:val="105"/>
        </w:rPr>
        <w:t>of</w:t>
      </w:r>
      <w:r>
        <w:rPr>
          <w:b/>
          <w:spacing w:val="4"/>
          <w:w w:val="105"/>
        </w:rPr>
        <w:t xml:space="preserve"> </w:t>
      </w:r>
      <w:r>
        <w:rPr>
          <w:b/>
          <w:w w:val="105"/>
        </w:rPr>
        <w:t>inter-State</w:t>
      </w:r>
      <w:r>
        <w:rPr>
          <w:b/>
          <w:spacing w:val="2"/>
          <w:w w:val="105"/>
        </w:rPr>
        <w:t xml:space="preserve"> </w:t>
      </w:r>
      <w:r>
        <w:rPr>
          <w:b/>
          <w:w w:val="105"/>
        </w:rPr>
        <w:t>transmission</w:t>
      </w:r>
      <w:r>
        <w:rPr>
          <w:b/>
          <w:spacing w:val="6"/>
          <w:w w:val="105"/>
        </w:rPr>
        <w:t xml:space="preserve"> </w:t>
      </w:r>
      <w:r>
        <w:rPr>
          <w:b/>
          <w:w w:val="105"/>
        </w:rPr>
        <w:t>system</w:t>
      </w:r>
      <w:r>
        <w:rPr>
          <w:w w:val="105"/>
        </w:rPr>
        <w:t>:</w:t>
      </w:r>
      <w:r>
        <w:rPr>
          <w:spacing w:val="7"/>
          <w:w w:val="105"/>
        </w:rPr>
        <w:t xml:space="preserve"> </w:t>
      </w:r>
    </w:p>
    <w:p w:rsidR="000011E9" w:rsidRPr="00D42916" w:rsidRDefault="00D42916" w:rsidP="00D42916">
      <w:pPr>
        <w:pStyle w:val="ListParagraph"/>
        <w:spacing w:line="391" w:lineRule="auto"/>
        <w:ind w:left="851" w:right="1049"/>
        <w:rPr>
          <w:rFonts w:asciiTheme="minorHAnsi" w:hAnsiTheme="minorHAnsi" w:cstheme="minorHAnsi"/>
          <w:w w:val="105"/>
          <w:sz w:val="24"/>
          <w:szCs w:val="24"/>
        </w:rPr>
      </w:pPr>
      <w:r>
        <w:rPr>
          <w:rFonts w:asciiTheme="minorHAnsi" w:hAnsiTheme="minorHAnsi" w:cstheme="minorHAnsi"/>
          <w:w w:val="105"/>
          <w:sz w:val="24"/>
          <w:szCs w:val="24"/>
        </w:rPr>
        <w:t xml:space="preserve">  </w:t>
      </w:r>
      <w:r w:rsidR="0058769F" w:rsidRPr="00D42916">
        <w:rPr>
          <w:rFonts w:asciiTheme="minorHAnsi" w:hAnsiTheme="minorHAnsi" w:cstheme="minorHAnsi"/>
          <w:w w:val="105"/>
          <w:sz w:val="24"/>
          <w:szCs w:val="24"/>
        </w:rPr>
        <w:t>As specified by the Central Commission from time to time.</w:t>
      </w:r>
    </w:p>
    <w:p w:rsidR="000011E9" w:rsidRDefault="000011E9">
      <w:pPr>
        <w:pStyle w:val="BodyText"/>
        <w:spacing w:before="10"/>
        <w:rPr>
          <w:sz w:val="35"/>
        </w:rPr>
      </w:pPr>
    </w:p>
    <w:p w:rsidR="000011E9" w:rsidRDefault="0058769F" w:rsidP="00D42916">
      <w:pPr>
        <w:pStyle w:val="ListParagraph"/>
        <w:numPr>
          <w:ilvl w:val="0"/>
          <w:numId w:val="6"/>
        </w:numPr>
        <w:ind w:left="851" w:hanging="281"/>
      </w:pPr>
      <w:r>
        <w:rPr>
          <w:b/>
          <w:w w:val="105"/>
        </w:rPr>
        <w:t>For</w:t>
      </w:r>
      <w:r>
        <w:rPr>
          <w:b/>
          <w:spacing w:val="-4"/>
          <w:w w:val="105"/>
        </w:rPr>
        <w:t xml:space="preserve"> </w:t>
      </w:r>
      <w:r>
        <w:rPr>
          <w:b/>
          <w:w w:val="105"/>
        </w:rPr>
        <w:t>use</w:t>
      </w:r>
      <w:r>
        <w:rPr>
          <w:b/>
          <w:spacing w:val="-2"/>
          <w:w w:val="105"/>
        </w:rPr>
        <w:t xml:space="preserve"> </w:t>
      </w:r>
      <w:r>
        <w:rPr>
          <w:b/>
          <w:w w:val="105"/>
        </w:rPr>
        <w:t>of</w:t>
      </w:r>
      <w:r>
        <w:rPr>
          <w:b/>
          <w:spacing w:val="-5"/>
          <w:w w:val="105"/>
        </w:rPr>
        <w:t xml:space="preserve"> </w:t>
      </w:r>
      <w:r>
        <w:rPr>
          <w:b/>
          <w:w w:val="105"/>
        </w:rPr>
        <w:t>intra-State</w:t>
      </w:r>
      <w:r>
        <w:rPr>
          <w:b/>
          <w:spacing w:val="-4"/>
          <w:w w:val="105"/>
        </w:rPr>
        <w:t xml:space="preserve"> </w:t>
      </w:r>
      <w:r>
        <w:rPr>
          <w:b/>
          <w:w w:val="105"/>
        </w:rPr>
        <w:t>transmission</w:t>
      </w:r>
      <w:r>
        <w:rPr>
          <w:b/>
          <w:spacing w:val="-3"/>
          <w:w w:val="105"/>
        </w:rPr>
        <w:t xml:space="preserve"> </w:t>
      </w:r>
      <w:r>
        <w:rPr>
          <w:b/>
          <w:w w:val="105"/>
        </w:rPr>
        <w:t>system</w:t>
      </w:r>
      <w:r>
        <w:rPr>
          <w:w w:val="105"/>
        </w:rPr>
        <w:t>:</w:t>
      </w:r>
    </w:p>
    <w:p w:rsidR="000011E9" w:rsidRPr="00D42916" w:rsidRDefault="000011E9" w:rsidP="00D42916">
      <w:pPr>
        <w:pStyle w:val="ListParagraph"/>
        <w:spacing w:line="391" w:lineRule="auto"/>
        <w:ind w:left="0" w:right="59"/>
        <w:rPr>
          <w:rFonts w:asciiTheme="minorHAnsi" w:hAnsiTheme="minorHAnsi" w:cstheme="minorHAnsi"/>
          <w:w w:val="105"/>
          <w:sz w:val="24"/>
          <w:szCs w:val="24"/>
        </w:rPr>
      </w:pPr>
    </w:p>
    <w:p w:rsidR="000011E9" w:rsidRPr="00D42916" w:rsidRDefault="0058769F" w:rsidP="00D42916">
      <w:pPr>
        <w:pStyle w:val="ListParagraph"/>
        <w:spacing w:line="391" w:lineRule="auto"/>
        <w:ind w:left="993" w:right="59"/>
        <w:rPr>
          <w:rFonts w:asciiTheme="minorHAnsi" w:hAnsiTheme="minorHAnsi" w:cstheme="minorHAnsi"/>
          <w:w w:val="105"/>
          <w:sz w:val="24"/>
          <w:szCs w:val="24"/>
        </w:rPr>
      </w:pPr>
      <w:r w:rsidRPr="00D42916">
        <w:rPr>
          <w:rFonts w:asciiTheme="minorHAnsi" w:hAnsiTheme="minorHAnsi" w:cstheme="minorHAnsi"/>
          <w:w w:val="105"/>
          <w:sz w:val="24"/>
          <w:szCs w:val="24"/>
        </w:rPr>
        <w:t>Transmission Charges for Long-Term/Medium-Term Green Energy Open Access, shall be as below:</w:t>
      </w:r>
    </w:p>
    <w:p w:rsidR="000011E9" w:rsidRPr="00D42916" w:rsidRDefault="001D4EBC" w:rsidP="00D42916">
      <w:pPr>
        <w:pStyle w:val="ListParagraph"/>
        <w:spacing w:line="391" w:lineRule="auto"/>
        <w:ind w:left="993" w:right="59"/>
        <w:rPr>
          <w:rFonts w:asciiTheme="minorHAnsi" w:hAnsiTheme="minorHAnsi" w:cstheme="minorHAnsi"/>
          <w:w w:val="105"/>
          <w:sz w:val="24"/>
          <w:szCs w:val="24"/>
        </w:rPr>
      </w:pPr>
      <w:r w:rsidRPr="001D4EBC">
        <w:rPr>
          <w:rFonts w:asciiTheme="minorHAnsi" w:hAnsiTheme="minorHAnsi" w:cstheme="minorHAnsi"/>
          <w:noProof/>
          <w:sz w:val="24"/>
          <w:szCs w:val="24"/>
        </w:rPr>
        <w:pict>
          <v:line id="Straight Connector 1" o:spid="_x0000_s1031" style="position:absolute;left:0;text-align:left;flip:y;z-index:487594496;visibility:visible" from="167.3pt,19.05pt" to="387.1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" strokecolor="black [3040]"/>
        </w:pict>
      </w:r>
      <w:r w:rsidR="0058769F" w:rsidRPr="00D42916">
        <w:rPr>
          <w:rFonts w:asciiTheme="minorHAnsi" w:hAnsiTheme="minorHAnsi" w:cstheme="minorHAnsi"/>
          <w:w w:val="105"/>
          <w:sz w:val="24"/>
          <w:szCs w:val="24"/>
        </w:rPr>
        <w:t>Transmission Charge = Total Transmission System Charges (TTSC)</w:t>
      </w:r>
    </w:p>
    <w:p w:rsidR="000011E9" w:rsidRDefault="0058769F" w:rsidP="00DF11D3">
      <w:pPr>
        <w:pStyle w:val="ListParagraph"/>
        <w:spacing w:line="391" w:lineRule="auto"/>
        <w:ind w:left="3873" w:right="59" w:firstLine="447"/>
        <w:rPr>
          <w:rFonts w:asciiTheme="minorHAnsi" w:hAnsiTheme="minorHAnsi" w:cstheme="minorHAnsi"/>
          <w:w w:val="105"/>
          <w:sz w:val="24"/>
          <w:szCs w:val="24"/>
        </w:rPr>
      </w:pPr>
      <w:r w:rsidRPr="00D42916">
        <w:rPr>
          <w:rFonts w:asciiTheme="minorHAnsi" w:hAnsiTheme="minorHAnsi" w:cstheme="minorHAnsi"/>
          <w:w w:val="105"/>
          <w:sz w:val="24"/>
          <w:szCs w:val="24"/>
        </w:rPr>
        <w:t>Peak load served (PLS)</w:t>
      </w:r>
    </w:p>
    <w:p w:rsidR="00DF11D3" w:rsidRPr="00D42916" w:rsidRDefault="00DF11D3" w:rsidP="00DF11D3">
      <w:pPr>
        <w:pStyle w:val="NoSpacing"/>
        <w:rPr>
          <w:w w:val="105"/>
        </w:rPr>
      </w:pPr>
    </w:p>
    <w:p w:rsidR="000011E9" w:rsidRPr="00D42916" w:rsidRDefault="0058769F" w:rsidP="00D42916">
      <w:pPr>
        <w:pStyle w:val="ListParagraph"/>
        <w:spacing w:line="391" w:lineRule="auto"/>
        <w:ind w:left="993" w:right="59"/>
        <w:rPr>
          <w:rFonts w:asciiTheme="minorHAnsi" w:hAnsiTheme="minorHAnsi" w:cstheme="minorHAnsi"/>
          <w:w w:val="105"/>
          <w:sz w:val="24"/>
          <w:szCs w:val="24"/>
        </w:rPr>
      </w:pPr>
      <w:r w:rsidRPr="00D42916">
        <w:rPr>
          <w:rFonts w:asciiTheme="minorHAnsi" w:hAnsiTheme="minorHAnsi" w:cstheme="minorHAnsi"/>
          <w:w w:val="105"/>
          <w:sz w:val="24"/>
          <w:szCs w:val="24"/>
        </w:rPr>
        <w:t xml:space="preserve">Where, Total Transmission system Cost for </w:t>
      </w:r>
      <w:proofErr w:type="spellStart"/>
      <w:r w:rsidRPr="00D42916">
        <w:rPr>
          <w:rFonts w:asciiTheme="minorHAnsi" w:hAnsiTheme="minorHAnsi" w:cstheme="minorHAnsi"/>
          <w:w w:val="105"/>
          <w:sz w:val="24"/>
          <w:szCs w:val="24"/>
        </w:rPr>
        <w:t>InSTS</w:t>
      </w:r>
      <w:proofErr w:type="spellEnd"/>
      <w:r w:rsidRPr="00D42916">
        <w:rPr>
          <w:rFonts w:asciiTheme="minorHAnsi" w:hAnsiTheme="minorHAnsi" w:cstheme="minorHAnsi"/>
          <w:w w:val="105"/>
          <w:sz w:val="24"/>
          <w:szCs w:val="24"/>
        </w:rPr>
        <w:t xml:space="preserve"> shall be sum of Annual Revenue Requirement (ARR) or annual transmission service charge of Transmission Licensee(s) in the State approved or adopted by the Commission.</w:t>
      </w:r>
    </w:p>
    <w:p w:rsidR="000011E9" w:rsidRPr="00D42916" w:rsidRDefault="000011E9" w:rsidP="00D42916">
      <w:pPr>
        <w:pStyle w:val="ListParagraph"/>
        <w:spacing w:line="391" w:lineRule="auto"/>
        <w:ind w:left="993" w:right="59"/>
        <w:rPr>
          <w:rFonts w:asciiTheme="minorHAnsi" w:hAnsiTheme="minorHAnsi" w:cstheme="minorHAnsi"/>
          <w:w w:val="105"/>
          <w:sz w:val="24"/>
          <w:szCs w:val="24"/>
        </w:rPr>
      </w:pPr>
    </w:p>
    <w:p w:rsidR="000011E9" w:rsidRPr="00D42916" w:rsidRDefault="0058769F" w:rsidP="00D42916">
      <w:pPr>
        <w:pStyle w:val="ListParagraph"/>
        <w:spacing w:line="391" w:lineRule="auto"/>
        <w:ind w:left="993" w:right="59"/>
        <w:rPr>
          <w:rFonts w:asciiTheme="minorHAnsi" w:hAnsiTheme="minorHAnsi" w:cstheme="minorHAnsi"/>
          <w:w w:val="105"/>
          <w:sz w:val="24"/>
          <w:szCs w:val="24"/>
        </w:rPr>
      </w:pPr>
      <w:r w:rsidRPr="00D42916">
        <w:rPr>
          <w:rFonts w:asciiTheme="minorHAnsi" w:hAnsiTheme="minorHAnsi" w:cstheme="minorHAnsi"/>
          <w:w w:val="105"/>
          <w:sz w:val="24"/>
          <w:szCs w:val="24"/>
        </w:rPr>
        <w:t>PLS is the Peak load served by the State transmission system during the year:</w:t>
      </w:r>
    </w:p>
    <w:p w:rsidR="000011E9" w:rsidRPr="00D42916" w:rsidRDefault="000011E9" w:rsidP="00D42916">
      <w:pPr>
        <w:pStyle w:val="ListParagraph"/>
        <w:spacing w:line="391" w:lineRule="auto"/>
        <w:ind w:left="993" w:right="59"/>
        <w:rPr>
          <w:rFonts w:asciiTheme="minorHAnsi" w:hAnsiTheme="minorHAnsi" w:cstheme="minorHAnsi"/>
          <w:w w:val="105"/>
          <w:sz w:val="24"/>
          <w:szCs w:val="24"/>
        </w:rPr>
      </w:pPr>
    </w:p>
    <w:p w:rsidR="000011E9" w:rsidRPr="00D42916" w:rsidRDefault="0058769F" w:rsidP="00D42916">
      <w:pPr>
        <w:pStyle w:val="ListParagraph"/>
        <w:spacing w:line="391" w:lineRule="auto"/>
        <w:ind w:left="993" w:right="59"/>
        <w:rPr>
          <w:rFonts w:asciiTheme="minorHAnsi" w:hAnsiTheme="minorHAnsi" w:cstheme="minorHAnsi"/>
          <w:w w:val="105"/>
          <w:sz w:val="24"/>
          <w:szCs w:val="24"/>
        </w:rPr>
      </w:pPr>
      <w:r w:rsidRPr="00D42916">
        <w:rPr>
          <w:rFonts w:asciiTheme="minorHAnsi" w:hAnsiTheme="minorHAnsi" w:cstheme="minorHAnsi"/>
          <w:w w:val="105"/>
          <w:sz w:val="24"/>
          <w:szCs w:val="24"/>
        </w:rPr>
        <w:t>Provided that, in case of multiple transmission licensees in the States, the ARR for all the Transmission licensees shall be pooled together for computation of TTSC.</w:t>
      </w:r>
    </w:p>
    <w:p w:rsidR="000011E9" w:rsidRPr="00D42916" w:rsidRDefault="000011E9" w:rsidP="00D42916">
      <w:pPr>
        <w:pStyle w:val="ListParagraph"/>
        <w:spacing w:line="391" w:lineRule="auto"/>
        <w:ind w:left="993" w:right="59"/>
        <w:rPr>
          <w:rFonts w:asciiTheme="minorHAnsi" w:hAnsiTheme="minorHAnsi" w:cstheme="minorHAnsi"/>
          <w:w w:val="105"/>
          <w:sz w:val="24"/>
          <w:szCs w:val="24"/>
        </w:rPr>
      </w:pPr>
    </w:p>
    <w:p w:rsidR="000011E9" w:rsidRPr="00D42916" w:rsidRDefault="0058769F" w:rsidP="00D42916">
      <w:pPr>
        <w:pStyle w:val="ListParagraph"/>
        <w:spacing w:line="391" w:lineRule="auto"/>
        <w:ind w:left="993" w:right="59"/>
        <w:rPr>
          <w:rFonts w:asciiTheme="minorHAnsi" w:hAnsiTheme="minorHAnsi" w:cstheme="minorHAnsi"/>
          <w:w w:val="105"/>
          <w:sz w:val="24"/>
          <w:szCs w:val="24"/>
        </w:rPr>
      </w:pPr>
      <w:r w:rsidRPr="00D42916">
        <w:rPr>
          <w:rFonts w:asciiTheme="minorHAnsi" w:hAnsiTheme="minorHAnsi" w:cstheme="minorHAnsi"/>
          <w:w w:val="105"/>
          <w:sz w:val="24"/>
          <w:szCs w:val="24"/>
        </w:rPr>
        <w:t>Transmission Charges will be calculated as Rs/kW/month or Rs/MW/day.</w:t>
      </w:r>
    </w:p>
    <w:p w:rsidR="000011E9" w:rsidRPr="00D42916" w:rsidRDefault="000011E9" w:rsidP="00D42916">
      <w:pPr>
        <w:pStyle w:val="ListParagraph"/>
        <w:spacing w:line="391" w:lineRule="auto"/>
        <w:ind w:left="993" w:right="59"/>
        <w:rPr>
          <w:rFonts w:asciiTheme="minorHAnsi" w:hAnsiTheme="minorHAnsi" w:cstheme="minorHAnsi"/>
          <w:w w:val="105"/>
          <w:sz w:val="24"/>
          <w:szCs w:val="24"/>
        </w:rPr>
      </w:pPr>
    </w:p>
    <w:p w:rsidR="000011E9" w:rsidRPr="00D42916" w:rsidRDefault="0058769F" w:rsidP="00D42916">
      <w:pPr>
        <w:pStyle w:val="ListParagraph"/>
        <w:spacing w:line="391" w:lineRule="auto"/>
        <w:ind w:left="993" w:right="59"/>
        <w:rPr>
          <w:rFonts w:asciiTheme="minorHAnsi" w:hAnsiTheme="minorHAnsi" w:cstheme="minorHAnsi"/>
          <w:w w:val="105"/>
          <w:sz w:val="24"/>
          <w:szCs w:val="24"/>
        </w:rPr>
      </w:pPr>
      <w:r w:rsidRPr="00D42916">
        <w:rPr>
          <w:rFonts w:asciiTheme="minorHAnsi" w:hAnsiTheme="minorHAnsi" w:cstheme="minorHAnsi"/>
          <w:w w:val="105"/>
          <w:sz w:val="24"/>
          <w:szCs w:val="24"/>
        </w:rPr>
        <w:t xml:space="preserve">Transmission Charges for Short-Term Green Energy Open </w:t>
      </w:r>
      <w:proofErr w:type="gramStart"/>
      <w:r w:rsidRPr="00D42916">
        <w:rPr>
          <w:rFonts w:asciiTheme="minorHAnsi" w:hAnsiTheme="minorHAnsi" w:cstheme="minorHAnsi"/>
          <w:w w:val="105"/>
          <w:sz w:val="24"/>
          <w:szCs w:val="24"/>
        </w:rPr>
        <w:t>access,</w:t>
      </w:r>
      <w:proofErr w:type="gramEnd"/>
      <w:r w:rsidRPr="00D42916">
        <w:rPr>
          <w:rFonts w:asciiTheme="minorHAnsi" w:hAnsiTheme="minorHAnsi" w:cstheme="minorHAnsi"/>
          <w:w w:val="105"/>
          <w:sz w:val="24"/>
          <w:szCs w:val="24"/>
        </w:rPr>
        <w:t xml:space="preserve"> shall be computed as:</w:t>
      </w:r>
    </w:p>
    <w:p w:rsidR="000011E9" w:rsidRPr="00D42916" w:rsidRDefault="001D4EBC" w:rsidP="00ED4ADE">
      <w:pPr>
        <w:pStyle w:val="ListParagraph"/>
        <w:ind w:left="993" w:right="59"/>
        <w:rPr>
          <w:rFonts w:asciiTheme="minorHAnsi" w:hAnsiTheme="minorHAnsi" w:cstheme="minorHAnsi"/>
          <w:w w:val="105"/>
          <w:sz w:val="24"/>
          <w:szCs w:val="24"/>
        </w:rPr>
      </w:pPr>
      <w:r w:rsidRPr="001D4EBC">
        <w:rPr>
          <w:rFonts w:asciiTheme="minorHAnsi" w:hAnsiTheme="minorHAnsi" w:cstheme="minorHAnsi"/>
          <w:noProof/>
          <w:w w:val="105"/>
          <w:sz w:val="24"/>
          <w:szCs w:val="24"/>
        </w:rPr>
        <w:pict>
          <v:line id="Line 6" o:spid="_x0000_s1030" style="position:absolute;left:0;text-align:left;z-index:-15727104;visibility:visible;mso-wrap-distance-left:0;mso-wrap-distance-right:0;mso-position-horizontal-relative:page" from="290.05pt,16.25pt" to="517.3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">
            <w10:wrap type="topAndBottom" anchorx="page"/>
          </v:line>
        </w:pict>
      </w:r>
      <w:r w:rsidR="0058769F" w:rsidRPr="00D42916">
        <w:rPr>
          <w:rFonts w:asciiTheme="minorHAnsi" w:hAnsiTheme="minorHAnsi" w:cstheme="minorHAnsi"/>
          <w:w w:val="105"/>
          <w:sz w:val="24"/>
          <w:szCs w:val="24"/>
        </w:rPr>
        <w:t>Transmission Charge (STOA) = Total Transmission System Charges (TTSC)</w:t>
      </w:r>
    </w:p>
    <w:p w:rsidR="000011E9" w:rsidRPr="00D42916" w:rsidRDefault="0058769F" w:rsidP="00ED4ADE">
      <w:pPr>
        <w:pStyle w:val="ListParagraph"/>
        <w:ind w:left="4111" w:right="59"/>
        <w:rPr>
          <w:rFonts w:asciiTheme="minorHAnsi" w:hAnsiTheme="minorHAnsi" w:cstheme="minorHAnsi"/>
          <w:w w:val="105"/>
          <w:sz w:val="24"/>
          <w:szCs w:val="24"/>
        </w:rPr>
      </w:pPr>
      <w:r w:rsidRPr="00D42916">
        <w:rPr>
          <w:rFonts w:asciiTheme="minorHAnsi" w:hAnsiTheme="minorHAnsi" w:cstheme="minorHAnsi"/>
          <w:w w:val="105"/>
          <w:sz w:val="24"/>
          <w:szCs w:val="24"/>
        </w:rPr>
        <w:t>Energy transmitted by transmission licensee during the year</w:t>
      </w:r>
    </w:p>
    <w:p w:rsidR="000011E9" w:rsidRPr="005F37DC" w:rsidRDefault="0058769F" w:rsidP="005F37DC">
      <w:pPr>
        <w:pStyle w:val="ListParagraph"/>
        <w:spacing w:line="391" w:lineRule="auto"/>
        <w:ind w:left="993" w:right="59"/>
        <w:rPr>
          <w:rFonts w:asciiTheme="minorHAnsi" w:hAnsiTheme="minorHAnsi" w:cstheme="minorHAnsi"/>
          <w:w w:val="105"/>
          <w:sz w:val="24"/>
          <w:szCs w:val="24"/>
        </w:rPr>
      </w:pPr>
      <w:r w:rsidRPr="00D42916">
        <w:rPr>
          <w:rFonts w:asciiTheme="minorHAnsi" w:hAnsiTheme="minorHAnsi" w:cstheme="minorHAnsi"/>
          <w:w w:val="105"/>
          <w:sz w:val="24"/>
          <w:szCs w:val="24"/>
        </w:rPr>
        <w:t>Transmission Charge for Short-Term Green Energy Open Access shall be</w:t>
      </w:r>
      <w:r w:rsidR="005F37DC">
        <w:rPr>
          <w:rFonts w:asciiTheme="minorHAnsi" w:hAnsiTheme="minorHAnsi" w:cstheme="minorHAnsi"/>
          <w:w w:val="105"/>
          <w:sz w:val="24"/>
          <w:szCs w:val="24"/>
        </w:rPr>
        <w:t xml:space="preserve"> </w:t>
      </w:r>
      <w:r w:rsidRPr="005F37DC">
        <w:rPr>
          <w:rFonts w:asciiTheme="minorHAnsi" w:hAnsiTheme="minorHAnsi" w:cstheme="minorHAnsi"/>
          <w:w w:val="105"/>
          <w:sz w:val="24"/>
          <w:szCs w:val="24"/>
        </w:rPr>
        <w:t>computed in Rs/kWh and it shall be charged on the actual energy transmitted:</w:t>
      </w:r>
    </w:p>
    <w:p w:rsidR="000011E9" w:rsidRDefault="000011E9" w:rsidP="00D42916">
      <w:pPr>
        <w:pStyle w:val="ListParagraph"/>
        <w:spacing w:line="391" w:lineRule="auto"/>
        <w:ind w:left="993" w:right="59"/>
        <w:rPr>
          <w:rFonts w:asciiTheme="minorHAnsi" w:hAnsiTheme="minorHAnsi" w:cstheme="minorHAnsi"/>
          <w:w w:val="105"/>
          <w:sz w:val="24"/>
          <w:szCs w:val="24"/>
        </w:rPr>
      </w:pPr>
    </w:p>
    <w:p w:rsidR="005F37DC" w:rsidRPr="00D42916" w:rsidRDefault="005F37DC" w:rsidP="00D42916">
      <w:pPr>
        <w:pStyle w:val="ListParagraph"/>
        <w:spacing w:line="391" w:lineRule="auto"/>
        <w:ind w:left="993" w:right="59"/>
        <w:rPr>
          <w:rFonts w:asciiTheme="minorHAnsi" w:hAnsiTheme="minorHAnsi" w:cstheme="minorHAnsi"/>
          <w:w w:val="105"/>
          <w:sz w:val="24"/>
          <w:szCs w:val="24"/>
        </w:rPr>
      </w:pPr>
    </w:p>
    <w:p w:rsidR="000011E9" w:rsidRPr="005F37DC" w:rsidRDefault="0058769F" w:rsidP="005F37DC">
      <w:pPr>
        <w:pStyle w:val="ListParagraph"/>
        <w:spacing w:line="391" w:lineRule="auto"/>
        <w:ind w:left="993" w:right="59"/>
        <w:rPr>
          <w:rFonts w:asciiTheme="minorHAnsi" w:hAnsiTheme="minorHAnsi" w:cstheme="minorHAnsi"/>
          <w:w w:val="105"/>
          <w:sz w:val="24"/>
          <w:szCs w:val="24"/>
        </w:rPr>
      </w:pPr>
      <w:r w:rsidRPr="00ED4ADE">
        <w:rPr>
          <w:rFonts w:asciiTheme="minorHAnsi" w:hAnsiTheme="minorHAnsi" w:cstheme="minorHAnsi"/>
          <w:w w:val="105"/>
          <w:sz w:val="24"/>
          <w:szCs w:val="24"/>
        </w:rPr>
        <w:t xml:space="preserve">Provided that the existing waivers or concessions in the Transmission Charges   applicable   for   green energy open access   transactions </w:t>
      </w:r>
      <w:r w:rsidR="002306A6" w:rsidRPr="00ED4ADE">
        <w:rPr>
          <w:rFonts w:asciiTheme="minorHAnsi" w:hAnsiTheme="minorHAnsi" w:cstheme="minorHAnsi"/>
          <w:w w:val="105"/>
          <w:sz w:val="24"/>
          <w:szCs w:val="24"/>
        </w:rPr>
        <w:t>shall be as per</w:t>
      </w:r>
      <w:r w:rsidR="005F37DC" w:rsidRPr="00ED4ADE">
        <w:rPr>
          <w:rFonts w:asciiTheme="minorHAnsi" w:hAnsiTheme="minorHAnsi" w:cstheme="minorHAnsi"/>
          <w:w w:val="105"/>
          <w:sz w:val="24"/>
          <w:szCs w:val="24"/>
        </w:rPr>
        <w:t xml:space="preserve"> </w:t>
      </w:r>
      <w:r w:rsidR="00CA3C28" w:rsidRPr="00ED4ADE">
        <w:rPr>
          <w:rFonts w:asciiTheme="minorHAnsi" w:hAnsiTheme="minorHAnsi" w:cstheme="minorHAnsi"/>
          <w:w w:val="105"/>
          <w:sz w:val="24"/>
          <w:szCs w:val="24"/>
        </w:rPr>
        <w:t>N</w:t>
      </w:r>
      <w:r w:rsidRPr="00ED4ADE">
        <w:rPr>
          <w:rFonts w:asciiTheme="minorHAnsi" w:hAnsiTheme="minorHAnsi" w:cstheme="minorHAnsi"/>
          <w:w w:val="105"/>
          <w:sz w:val="24"/>
          <w:szCs w:val="24"/>
        </w:rPr>
        <w:t xml:space="preserve">ERC </w:t>
      </w:r>
      <w:r w:rsidR="00F57801" w:rsidRPr="00ED4ADE">
        <w:rPr>
          <w:rFonts w:asciiTheme="minorHAnsi" w:hAnsiTheme="minorHAnsi" w:cstheme="minorHAnsi"/>
          <w:w w:val="105"/>
          <w:sz w:val="24"/>
          <w:szCs w:val="24"/>
        </w:rPr>
        <w:t>O</w:t>
      </w:r>
      <w:r w:rsidRPr="00ED4ADE">
        <w:rPr>
          <w:rFonts w:asciiTheme="minorHAnsi" w:hAnsiTheme="minorHAnsi" w:cstheme="minorHAnsi"/>
          <w:w w:val="105"/>
          <w:sz w:val="24"/>
          <w:szCs w:val="24"/>
        </w:rPr>
        <w:t>pen Access Regulations</w:t>
      </w:r>
      <w:r w:rsidR="002306A6" w:rsidRPr="00ED4ADE">
        <w:rPr>
          <w:rFonts w:asciiTheme="minorHAnsi" w:hAnsiTheme="minorHAnsi" w:cstheme="minorHAnsi"/>
          <w:w w:val="105"/>
          <w:sz w:val="24"/>
          <w:szCs w:val="24"/>
        </w:rPr>
        <w:t>.</w:t>
      </w:r>
    </w:p>
    <w:p w:rsidR="000011E9" w:rsidRPr="00D42916" w:rsidRDefault="000011E9" w:rsidP="00D42916">
      <w:pPr>
        <w:pStyle w:val="ListParagraph"/>
        <w:spacing w:line="391" w:lineRule="auto"/>
        <w:ind w:left="993" w:right="59"/>
        <w:rPr>
          <w:rFonts w:asciiTheme="minorHAnsi" w:hAnsiTheme="minorHAnsi" w:cstheme="minorHAnsi"/>
          <w:w w:val="105"/>
          <w:sz w:val="24"/>
          <w:szCs w:val="24"/>
        </w:rPr>
      </w:pPr>
    </w:p>
    <w:p w:rsidR="000011E9" w:rsidRPr="00D42916" w:rsidRDefault="0058769F" w:rsidP="00D42916">
      <w:pPr>
        <w:pStyle w:val="ListParagraph"/>
        <w:spacing w:line="391" w:lineRule="auto"/>
        <w:ind w:left="993" w:right="59"/>
        <w:rPr>
          <w:rFonts w:asciiTheme="minorHAnsi" w:hAnsiTheme="minorHAnsi" w:cstheme="minorHAnsi"/>
          <w:w w:val="105"/>
          <w:sz w:val="24"/>
          <w:szCs w:val="24"/>
        </w:rPr>
      </w:pPr>
      <w:r w:rsidRPr="00D42916">
        <w:rPr>
          <w:rFonts w:asciiTheme="minorHAnsi" w:hAnsiTheme="minorHAnsi" w:cstheme="minorHAnsi"/>
          <w:w w:val="105"/>
          <w:sz w:val="24"/>
          <w:szCs w:val="24"/>
        </w:rPr>
        <w:t>While determining transmission charges for the ensuing year, Transmission ARR will be trued up by the Commission as per provisions of the MYT Regulations and on considering the Transmission revenue recovered from the Short-term green energy Open Access Consumers for the previous year.</w:t>
      </w:r>
    </w:p>
    <w:p w:rsidR="000011E9" w:rsidRPr="00D42916" w:rsidRDefault="000011E9" w:rsidP="00D42916">
      <w:pPr>
        <w:pStyle w:val="ListParagraph"/>
        <w:spacing w:line="391" w:lineRule="auto"/>
        <w:ind w:left="993" w:right="59"/>
        <w:rPr>
          <w:rFonts w:asciiTheme="minorHAnsi" w:hAnsiTheme="minorHAnsi" w:cstheme="minorHAnsi"/>
          <w:w w:val="105"/>
          <w:sz w:val="24"/>
          <w:szCs w:val="24"/>
        </w:rPr>
      </w:pPr>
    </w:p>
    <w:p w:rsidR="000011E9" w:rsidRPr="00D42916" w:rsidRDefault="0058769F" w:rsidP="00D42916">
      <w:pPr>
        <w:pStyle w:val="ListParagraph"/>
        <w:spacing w:line="391" w:lineRule="auto"/>
        <w:ind w:left="993" w:right="59"/>
        <w:rPr>
          <w:rFonts w:asciiTheme="minorHAnsi" w:hAnsiTheme="minorHAnsi" w:cstheme="minorHAnsi"/>
          <w:w w:val="105"/>
          <w:sz w:val="24"/>
          <w:szCs w:val="24"/>
        </w:rPr>
      </w:pPr>
      <w:r w:rsidRPr="00D42916">
        <w:rPr>
          <w:rFonts w:asciiTheme="minorHAnsi" w:hAnsiTheme="minorHAnsi" w:cstheme="minorHAnsi"/>
          <w:w w:val="105"/>
          <w:sz w:val="24"/>
          <w:szCs w:val="24"/>
        </w:rPr>
        <w:t>In case, where a dedicated transmission system used for open access has been constructed for exclusive use of an open access consumer, the transmission charges for such dedicated system shall be worked out by transmission licensee for their respective systems and get the same approved by the Commission. The charges shall be borne entirely by such open access consumer till such time the surplus capacity is allotted and used for by other persons or purposes.</w:t>
      </w:r>
    </w:p>
    <w:p w:rsidR="000011E9" w:rsidRPr="00D42916" w:rsidRDefault="000011E9" w:rsidP="00D42916">
      <w:pPr>
        <w:pStyle w:val="ListParagraph"/>
        <w:spacing w:line="391" w:lineRule="auto"/>
        <w:ind w:left="993" w:right="59"/>
        <w:rPr>
          <w:rFonts w:asciiTheme="minorHAnsi" w:hAnsiTheme="minorHAnsi" w:cstheme="minorHAnsi"/>
          <w:w w:val="105"/>
          <w:sz w:val="24"/>
          <w:szCs w:val="24"/>
        </w:rPr>
      </w:pPr>
    </w:p>
    <w:p w:rsidR="000011E9" w:rsidRPr="007A5744" w:rsidRDefault="0058769F" w:rsidP="007A5744">
      <w:pPr>
        <w:pStyle w:val="ListParagraph"/>
        <w:spacing w:line="391" w:lineRule="auto"/>
        <w:ind w:left="993" w:right="59"/>
        <w:rPr>
          <w:rFonts w:asciiTheme="minorHAnsi" w:hAnsiTheme="minorHAnsi" w:cstheme="minorHAnsi"/>
          <w:w w:val="105"/>
          <w:sz w:val="24"/>
          <w:szCs w:val="24"/>
        </w:rPr>
      </w:pPr>
      <w:r w:rsidRPr="00D42916">
        <w:rPr>
          <w:rFonts w:asciiTheme="minorHAnsi" w:hAnsiTheme="minorHAnsi" w:cstheme="minorHAnsi"/>
          <w:w w:val="105"/>
          <w:sz w:val="24"/>
          <w:szCs w:val="24"/>
        </w:rPr>
        <w:t>In addition to Transmission Charge, Intra-State Transmission loss shall be applicable to consumers seeking Green Energy Open Access. It shall be determined as average of 52-week Intra-State Transmission loss for the previous financial year as approved by the Commission.</w:t>
      </w:r>
      <w:r w:rsidR="007A5744">
        <w:rPr>
          <w:rFonts w:asciiTheme="minorHAnsi" w:hAnsiTheme="minorHAnsi" w:cstheme="minorHAnsi"/>
          <w:w w:val="105"/>
          <w:sz w:val="24"/>
          <w:szCs w:val="24"/>
        </w:rPr>
        <w:t xml:space="preserve"> </w:t>
      </w:r>
      <w:r w:rsidRPr="007A5744">
        <w:rPr>
          <w:rFonts w:asciiTheme="minorHAnsi" w:hAnsiTheme="minorHAnsi" w:cstheme="minorHAnsi"/>
          <w:w w:val="105"/>
          <w:sz w:val="24"/>
          <w:szCs w:val="24"/>
        </w:rPr>
        <w:t>Such transmission charges and losses shall be levied only once.</w:t>
      </w:r>
    </w:p>
    <w:p w:rsidR="000011E9" w:rsidRPr="00D42916" w:rsidRDefault="000011E9" w:rsidP="00D42916">
      <w:pPr>
        <w:pStyle w:val="ListParagraph"/>
        <w:spacing w:line="391" w:lineRule="auto"/>
        <w:ind w:left="993" w:right="59"/>
        <w:rPr>
          <w:rFonts w:asciiTheme="minorHAnsi" w:hAnsiTheme="minorHAnsi" w:cstheme="minorHAnsi"/>
          <w:w w:val="105"/>
          <w:sz w:val="24"/>
          <w:szCs w:val="24"/>
        </w:rPr>
      </w:pPr>
    </w:p>
    <w:p w:rsidR="000011E9" w:rsidRPr="007A5744" w:rsidRDefault="0058769F" w:rsidP="00D42916">
      <w:pPr>
        <w:pStyle w:val="ListParagraph"/>
        <w:spacing w:line="391" w:lineRule="auto"/>
        <w:ind w:left="993" w:right="59"/>
        <w:rPr>
          <w:rFonts w:asciiTheme="minorHAnsi" w:hAnsiTheme="minorHAnsi" w:cstheme="minorHAnsi"/>
          <w:i/>
          <w:iCs/>
          <w:w w:val="105"/>
          <w:sz w:val="24"/>
          <w:szCs w:val="24"/>
        </w:rPr>
      </w:pPr>
      <w:r w:rsidRPr="007A5744">
        <w:rPr>
          <w:rFonts w:asciiTheme="minorHAnsi" w:hAnsiTheme="minorHAnsi" w:cstheme="minorHAnsi"/>
          <w:i/>
          <w:iCs/>
          <w:w w:val="105"/>
          <w:sz w:val="24"/>
          <w:szCs w:val="24"/>
        </w:rPr>
        <w:t>Explanation:</w:t>
      </w:r>
    </w:p>
    <w:p w:rsidR="000011E9" w:rsidRPr="007A5744" w:rsidRDefault="0058769F" w:rsidP="00D42916">
      <w:pPr>
        <w:pStyle w:val="ListParagraph"/>
        <w:spacing w:line="391" w:lineRule="auto"/>
        <w:ind w:left="993" w:right="59"/>
        <w:rPr>
          <w:rFonts w:asciiTheme="minorHAnsi" w:hAnsiTheme="minorHAnsi" w:cstheme="minorHAnsi"/>
          <w:i/>
          <w:iCs/>
          <w:w w:val="105"/>
          <w:sz w:val="24"/>
          <w:szCs w:val="24"/>
        </w:rPr>
      </w:pPr>
      <w:r w:rsidRPr="007A5744">
        <w:rPr>
          <w:rFonts w:asciiTheme="minorHAnsi" w:hAnsiTheme="minorHAnsi" w:cstheme="minorHAnsi"/>
          <w:i/>
          <w:iCs/>
          <w:w w:val="105"/>
          <w:sz w:val="24"/>
          <w:szCs w:val="24"/>
        </w:rPr>
        <w:t>If transmission charges and losses had been levied on full quantum of banked energy during injection, then no further transmission charges and losses shall be levied on banked energy during drawl.</w:t>
      </w:r>
    </w:p>
    <w:p w:rsidR="000011E9" w:rsidRDefault="000011E9">
      <w:pPr>
        <w:spacing w:line="360" w:lineRule="auto"/>
        <w:sectPr w:rsidR="000011E9">
          <w:pgSz w:w="12240" w:h="15840"/>
          <w:pgMar w:top="1120" w:right="700" w:bottom="280" w:left="1700" w:header="720" w:footer="720" w:gutter="0"/>
          <w:cols w:space="720"/>
        </w:sectPr>
      </w:pPr>
    </w:p>
    <w:p w:rsidR="000011E9" w:rsidRDefault="0058769F">
      <w:pPr>
        <w:pStyle w:val="Heading2"/>
        <w:numPr>
          <w:ilvl w:val="0"/>
          <w:numId w:val="7"/>
        </w:numPr>
        <w:tabs>
          <w:tab w:val="left" w:pos="552"/>
        </w:tabs>
        <w:spacing w:before="79"/>
        <w:ind w:left="551" w:hanging="270"/>
        <w:jc w:val="left"/>
        <w:rPr>
          <w:sz w:val="22"/>
        </w:rPr>
      </w:pPr>
      <w:r>
        <w:rPr>
          <w:w w:val="105"/>
        </w:rPr>
        <w:lastRenderedPageBreak/>
        <w:t>Wheeling</w:t>
      </w:r>
      <w:r>
        <w:rPr>
          <w:spacing w:val="-3"/>
          <w:w w:val="105"/>
        </w:rPr>
        <w:t xml:space="preserve"> </w:t>
      </w:r>
      <w:r>
        <w:rPr>
          <w:w w:val="105"/>
        </w:rPr>
        <w:t>Charges</w:t>
      </w:r>
    </w:p>
    <w:p w:rsidR="000011E9" w:rsidRDefault="000011E9">
      <w:pPr>
        <w:pStyle w:val="BodyText"/>
        <w:rPr>
          <w:b/>
          <w:sz w:val="39"/>
        </w:rPr>
      </w:pPr>
    </w:p>
    <w:p w:rsidR="000011E9" w:rsidRPr="00DA1CA2" w:rsidRDefault="0058769F" w:rsidP="00DA1CA2">
      <w:pPr>
        <w:pStyle w:val="ListParagraph"/>
        <w:numPr>
          <w:ilvl w:val="0"/>
          <w:numId w:val="5"/>
        </w:numPr>
        <w:tabs>
          <w:tab w:val="left" w:pos="1128"/>
        </w:tabs>
        <w:spacing w:before="1" w:line="360" w:lineRule="auto"/>
        <w:ind w:right="219" w:hanging="306"/>
        <w:rPr>
          <w:rFonts w:asciiTheme="minorHAnsi" w:hAnsiTheme="minorHAnsi" w:cstheme="minorHAnsi"/>
          <w:w w:val="105"/>
          <w:sz w:val="24"/>
          <w:szCs w:val="24"/>
        </w:rPr>
      </w:pPr>
      <w:r w:rsidRPr="00DA1CA2">
        <w:rPr>
          <w:rFonts w:asciiTheme="minorHAnsi" w:hAnsiTheme="minorHAnsi" w:cstheme="minorHAnsi"/>
          <w:w w:val="105"/>
          <w:sz w:val="24"/>
          <w:szCs w:val="24"/>
        </w:rPr>
        <w:t>Wheeling Charges for Long-Term/Medium-Term/Short-Term Green Energy Open</w:t>
      </w:r>
      <w:r w:rsidR="00DA1CA2">
        <w:rPr>
          <w:rFonts w:asciiTheme="minorHAnsi" w:hAnsiTheme="minorHAnsi" w:cstheme="minorHAnsi"/>
          <w:w w:val="105"/>
          <w:sz w:val="24"/>
          <w:szCs w:val="24"/>
        </w:rPr>
        <w:t xml:space="preserve"> </w:t>
      </w:r>
      <w:r w:rsidRPr="00DA1CA2">
        <w:rPr>
          <w:rFonts w:asciiTheme="minorHAnsi" w:hAnsiTheme="minorHAnsi" w:cstheme="minorHAnsi"/>
          <w:w w:val="105"/>
          <w:sz w:val="24"/>
          <w:szCs w:val="24"/>
        </w:rPr>
        <w:t>Access, shall be computed as:</w:t>
      </w:r>
    </w:p>
    <w:p w:rsidR="000011E9" w:rsidRPr="00DA1CA2" w:rsidRDefault="001D4EBC">
      <w:pPr>
        <w:pStyle w:val="BodyText"/>
        <w:tabs>
          <w:tab w:val="left" w:pos="4320"/>
        </w:tabs>
        <w:spacing w:before="119"/>
        <w:ind w:left="2160"/>
        <w:rPr>
          <w:rFonts w:asciiTheme="minorHAnsi" w:hAnsiTheme="minorHAnsi" w:cstheme="minorHAnsi"/>
          <w:w w:val="105"/>
          <w:sz w:val="24"/>
          <w:szCs w:val="24"/>
        </w:rPr>
      </w:pPr>
      <w:r w:rsidRPr="001D4EBC">
        <w:rPr>
          <w:rFonts w:asciiTheme="minorHAnsi" w:hAnsiTheme="minorHAnsi" w:cstheme="minorHAnsi"/>
          <w:w w:val="105"/>
          <w:sz w:val="24"/>
          <w:szCs w:val="24"/>
        </w:rPr>
        <w:pict>
          <v:line id="Line 5" o:spid="_x0000_s1029" style="position:absolute;left:0;text-align:left;z-index:-15726592;visibility:visible;mso-wrap-distance-left:0;mso-wrap-distance-right:0;mso-position-horizontal-relative:page" from="291.8pt,21.45pt" to="47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">
            <w10:wrap type="topAndBottom" anchorx="page"/>
          </v:line>
        </w:pict>
      </w:r>
      <w:r w:rsidR="0058769F" w:rsidRPr="00DA1CA2">
        <w:rPr>
          <w:rFonts w:asciiTheme="minorHAnsi" w:hAnsiTheme="minorHAnsi" w:cstheme="minorHAnsi"/>
          <w:w w:val="105"/>
          <w:sz w:val="24"/>
          <w:szCs w:val="24"/>
        </w:rPr>
        <w:t>Wheeling Charge =</w:t>
      </w:r>
      <w:r w:rsidR="0058769F" w:rsidRPr="00DA1CA2">
        <w:rPr>
          <w:rFonts w:asciiTheme="minorHAnsi" w:hAnsiTheme="minorHAnsi" w:cstheme="minorHAnsi"/>
          <w:w w:val="105"/>
          <w:sz w:val="24"/>
          <w:szCs w:val="24"/>
        </w:rPr>
        <w:tab/>
      </w:r>
      <w:r w:rsidR="00450BE5">
        <w:rPr>
          <w:rFonts w:asciiTheme="minorHAnsi" w:hAnsiTheme="minorHAnsi" w:cstheme="minorHAnsi"/>
          <w:w w:val="105"/>
          <w:sz w:val="24"/>
          <w:szCs w:val="24"/>
        </w:rPr>
        <w:tab/>
      </w:r>
      <w:r w:rsidR="0058769F" w:rsidRPr="00DA1CA2">
        <w:rPr>
          <w:rFonts w:asciiTheme="minorHAnsi" w:hAnsiTheme="minorHAnsi" w:cstheme="minorHAnsi"/>
          <w:w w:val="105"/>
          <w:sz w:val="24"/>
          <w:szCs w:val="24"/>
        </w:rPr>
        <w:t>Wheeling ARR</w:t>
      </w:r>
    </w:p>
    <w:p w:rsidR="000011E9" w:rsidRPr="00DA1CA2" w:rsidRDefault="0058769F">
      <w:pPr>
        <w:pStyle w:val="BodyText"/>
        <w:spacing w:before="35"/>
        <w:ind w:left="4320"/>
        <w:rPr>
          <w:rFonts w:asciiTheme="minorHAnsi" w:hAnsiTheme="minorHAnsi" w:cstheme="minorHAnsi"/>
          <w:w w:val="105"/>
          <w:sz w:val="24"/>
          <w:szCs w:val="24"/>
        </w:rPr>
      </w:pPr>
      <w:r w:rsidRPr="00DA1CA2">
        <w:rPr>
          <w:rFonts w:asciiTheme="minorHAnsi" w:hAnsiTheme="minorHAnsi" w:cstheme="minorHAnsi"/>
          <w:w w:val="105"/>
          <w:sz w:val="24"/>
          <w:szCs w:val="24"/>
        </w:rPr>
        <w:t>Energy wheeled during the year</w:t>
      </w:r>
    </w:p>
    <w:p w:rsidR="000011E9" w:rsidRPr="00DA1CA2" w:rsidRDefault="000011E9">
      <w:pPr>
        <w:pStyle w:val="BodyText"/>
        <w:spacing w:before="5"/>
        <w:rPr>
          <w:rFonts w:asciiTheme="minorHAnsi" w:hAnsiTheme="minorHAnsi" w:cstheme="minorHAnsi"/>
          <w:w w:val="105"/>
          <w:sz w:val="24"/>
          <w:szCs w:val="24"/>
        </w:rPr>
      </w:pPr>
    </w:p>
    <w:p w:rsidR="000011E9" w:rsidRPr="00DA1CA2" w:rsidRDefault="0058769F">
      <w:pPr>
        <w:pStyle w:val="ListParagraph"/>
        <w:numPr>
          <w:ilvl w:val="1"/>
          <w:numId w:val="5"/>
        </w:numPr>
        <w:tabs>
          <w:tab w:val="left" w:pos="1440"/>
        </w:tabs>
        <w:spacing w:before="1" w:line="362" w:lineRule="auto"/>
        <w:ind w:right="117"/>
        <w:rPr>
          <w:rFonts w:asciiTheme="minorHAnsi" w:hAnsiTheme="minorHAnsi" w:cstheme="minorHAnsi"/>
          <w:w w:val="105"/>
          <w:sz w:val="24"/>
          <w:szCs w:val="24"/>
        </w:rPr>
      </w:pPr>
      <w:r w:rsidRPr="00DA1CA2">
        <w:rPr>
          <w:rFonts w:asciiTheme="minorHAnsi" w:hAnsiTheme="minorHAnsi" w:cstheme="minorHAnsi"/>
          <w:w w:val="105"/>
          <w:sz w:val="24"/>
          <w:szCs w:val="24"/>
        </w:rPr>
        <w:t>Wheeling ARR of Distribution Licensee will be as approved by the Commission under MYT Tariff Regulations or Order as the case may be.</w:t>
      </w:r>
    </w:p>
    <w:p w:rsidR="000011E9" w:rsidRPr="00DA1CA2" w:rsidRDefault="000011E9">
      <w:pPr>
        <w:pStyle w:val="BodyText"/>
        <w:spacing w:before="2"/>
        <w:rPr>
          <w:rFonts w:asciiTheme="minorHAnsi" w:hAnsiTheme="minorHAnsi" w:cstheme="minorHAnsi"/>
          <w:w w:val="105"/>
          <w:sz w:val="24"/>
          <w:szCs w:val="24"/>
        </w:rPr>
      </w:pPr>
    </w:p>
    <w:p w:rsidR="000011E9" w:rsidRPr="00DA1CA2" w:rsidRDefault="0058769F">
      <w:pPr>
        <w:pStyle w:val="ListParagraph"/>
        <w:numPr>
          <w:ilvl w:val="1"/>
          <w:numId w:val="5"/>
        </w:numPr>
        <w:tabs>
          <w:tab w:val="left" w:pos="1440"/>
        </w:tabs>
        <w:spacing w:line="360" w:lineRule="auto"/>
        <w:ind w:right="119"/>
        <w:rPr>
          <w:rFonts w:asciiTheme="minorHAnsi" w:hAnsiTheme="minorHAnsi" w:cstheme="minorHAnsi"/>
          <w:w w:val="105"/>
          <w:sz w:val="24"/>
          <w:szCs w:val="24"/>
        </w:rPr>
      </w:pPr>
      <w:r w:rsidRPr="00DA1CA2">
        <w:rPr>
          <w:rFonts w:asciiTheme="minorHAnsi" w:hAnsiTheme="minorHAnsi" w:cstheme="minorHAnsi"/>
          <w:w w:val="105"/>
          <w:sz w:val="24"/>
          <w:szCs w:val="24"/>
        </w:rPr>
        <w:t>Distribution Licensees need to maintain separate accounting records for the Wires Business and Retail Supply Business and prepare an allocation statement based on the allocation ratio specified by the Commission in the MYT Regulations or any other Regulation or Order as the case may be, for determination of Wheeling ARR for wire business and for determination of wheeling charges thereof.</w:t>
      </w:r>
    </w:p>
    <w:p w:rsidR="000011E9" w:rsidRPr="00DA1CA2" w:rsidRDefault="000011E9">
      <w:pPr>
        <w:pStyle w:val="BodyText"/>
        <w:spacing w:before="6"/>
        <w:rPr>
          <w:rFonts w:asciiTheme="minorHAnsi" w:hAnsiTheme="minorHAnsi" w:cstheme="minorHAnsi"/>
          <w:w w:val="105"/>
          <w:sz w:val="24"/>
          <w:szCs w:val="24"/>
        </w:rPr>
      </w:pPr>
    </w:p>
    <w:p w:rsidR="000011E9" w:rsidRPr="00DA1CA2" w:rsidRDefault="0058769F">
      <w:pPr>
        <w:pStyle w:val="BodyText"/>
        <w:spacing w:line="360" w:lineRule="auto"/>
        <w:ind w:left="1439" w:right="115"/>
        <w:jc w:val="both"/>
        <w:rPr>
          <w:rFonts w:asciiTheme="minorHAnsi" w:hAnsiTheme="minorHAnsi" w:cstheme="minorHAnsi"/>
          <w:w w:val="105"/>
          <w:sz w:val="24"/>
          <w:szCs w:val="24"/>
        </w:rPr>
      </w:pPr>
      <w:r w:rsidRPr="00DA1CA2">
        <w:rPr>
          <w:rFonts w:asciiTheme="minorHAnsi" w:hAnsiTheme="minorHAnsi" w:cstheme="minorHAnsi"/>
          <w:w w:val="105"/>
          <w:sz w:val="24"/>
          <w:szCs w:val="24"/>
        </w:rPr>
        <w:t>1[(iii)In case, voltage-wise segregation (HT/LT) of assets (Gross Fixed Assets) and data of energy wheeled / loss levels over (HT/LT) network is available, separate wheeling charges (HT/LT) shall be determined as under:</w:t>
      </w:r>
    </w:p>
    <w:p w:rsidR="000011E9" w:rsidRPr="00DA1CA2" w:rsidRDefault="000011E9">
      <w:pPr>
        <w:pStyle w:val="BodyText"/>
        <w:spacing w:before="5"/>
        <w:rPr>
          <w:rFonts w:asciiTheme="minorHAnsi" w:hAnsiTheme="minorHAnsi" w:cstheme="minorHAnsi"/>
          <w:w w:val="105"/>
          <w:sz w:val="24"/>
          <w:szCs w:val="24"/>
        </w:rPr>
      </w:pPr>
    </w:p>
    <w:p w:rsidR="000011E9" w:rsidRPr="00DA1CA2" w:rsidRDefault="001D4EBC">
      <w:pPr>
        <w:pStyle w:val="ListParagraph"/>
        <w:numPr>
          <w:ilvl w:val="2"/>
          <w:numId w:val="5"/>
        </w:numPr>
        <w:tabs>
          <w:tab w:val="left" w:pos="1620"/>
          <w:tab w:val="left" w:pos="4176"/>
        </w:tabs>
        <w:spacing w:before="1"/>
        <w:ind w:hanging="287"/>
        <w:jc w:val="left"/>
        <w:rPr>
          <w:rFonts w:asciiTheme="minorHAnsi" w:hAnsiTheme="minorHAnsi" w:cstheme="minorHAnsi"/>
          <w:w w:val="105"/>
          <w:sz w:val="24"/>
          <w:szCs w:val="24"/>
        </w:rPr>
      </w:pPr>
      <w:r w:rsidRPr="001D4EBC">
        <w:rPr>
          <w:rFonts w:asciiTheme="minorHAnsi" w:hAnsiTheme="minorHAnsi" w:cstheme="minorHAnsi"/>
          <w:w w:val="105"/>
          <w:sz w:val="24"/>
          <w:szCs w:val="24"/>
        </w:rPr>
        <w:pict>
          <v:shape id="Freeform 4" o:spid="_x0000_s1028" style="position:absolute;left:0;text-align:left;margin-left:285.25pt;margin-top:20.2pt;width:232.7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" path="m,l4655,e" filled="f">
            <v:path arrowok="t" o:connecttype="custom" o:connectlocs="0,0;2955925,0" o:connectangles="0,0"/>
            <w10:wrap type="topAndBottom" anchorx="page"/>
          </v:shape>
        </w:pict>
      </w:r>
      <w:r w:rsidR="0058769F" w:rsidRPr="00DA1CA2">
        <w:rPr>
          <w:rFonts w:asciiTheme="minorHAnsi" w:hAnsiTheme="minorHAnsi" w:cstheme="minorHAnsi"/>
          <w:w w:val="105"/>
          <w:sz w:val="24"/>
          <w:szCs w:val="24"/>
        </w:rPr>
        <w:t>Wheeling Charge (HT) =</w:t>
      </w:r>
      <w:r w:rsidR="0058769F" w:rsidRPr="00DA1CA2">
        <w:rPr>
          <w:rFonts w:asciiTheme="minorHAnsi" w:hAnsiTheme="minorHAnsi" w:cstheme="minorHAnsi"/>
          <w:w w:val="105"/>
          <w:sz w:val="24"/>
          <w:szCs w:val="24"/>
        </w:rPr>
        <w:tab/>
        <w:t>Estimated/Allocated Wheeling ARR (HT)</w:t>
      </w:r>
    </w:p>
    <w:p w:rsidR="000011E9" w:rsidRPr="00DA1CA2" w:rsidRDefault="0058769F">
      <w:pPr>
        <w:pStyle w:val="BodyText"/>
        <w:spacing w:before="66"/>
        <w:ind w:left="4997"/>
        <w:rPr>
          <w:rFonts w:asciiTheme="minorHAnsi" w:hAnsiTheme="minorHAnsi" w:cstheme="minorHAnsi"/>
          <w:w w:val="105"/>
          <w:sz w:val="24"/>
          <w:szCs w:val="24"/>
        </w:rPr>
      </w:pPr>
      <w:r w:rsidRPr="00DA1CA2">
        <w:rPr>
          <w:rFonts w:asciiTheme="minorHAnsi" w:hAnsiTheme="minorHAnsi" w:cstheme="minorHAnsi"/>
          <w:w w:val="105"/>
          <w:sz w:val="24"/>
          <w:szCs w:val="24"/>
        </w:rPr>
        <w:t>Energy wheeled (HT)</w:t>
      </w:r>
    </w:p>
    <w:p w:rsidR="000011E9" w:rsidRPr="00DA1CA2" w:rsidRDefault="000011E9">
      <w:pPr>
        <w:pStyle w:val="BodyText"/>
        <w:spacing w:before="5"/>
        <w:rPr>
          <w:rFonts w:asciiTheme="minorHAnsi" w:hAnsiTheme="minorHAnsi" w:cstheme="minorHAnsi"/>
          <w:w w:val="105"/>
          <w:sz w:val="24"/>
          <w:szCs w:val="24"/>
        </w:rPr>
      </w:pPr>
    </w:p>
    <w:p w:rsidR="000011E9" w:rsidRPr="00DA1CA2" w:rsidRDefault="0058769F">
      <w:pPr>
        <w:pStyle w:val="ListParagraph"/>
        <w:numPr>
          <w:ilvl w:val="2"/>
          <w:numId w:val="5"/>
        </w:numPr>
        <w:tabs>
          <w:tab w:val="left" w:pos="1620"/>
          <w:tab w:val="left" w:pos="4240"/>
        </w:tabs>
        <w:ind w:hanging="349"/>
        <w:jc w:val="left"/>
        <w:rPr>
          <w:rFonts w:asciiTheme="minorHAnsi" w:hAnsiTheme="minorHAnsi" w:cstheme="minorHAnsi"/>
          <w:w w:val="105"/>
          <w:sz w:val="24"/>
          <w:szCs w:val="24"/>
        </w:rPr>
      </w:pPr>
      <w:r w:rsidRPr="00DA1CA2">
        <w:rPr>
          <w:rFonts w:asciiTheme="minorHAnsi" w:hAnsiTheme="minorHAnsi" w:cstheme="minorHAnsi"/>
          <w:w w:val="105"/>
          <w:sz w:val="24"/>
          <w:szCs w:val="24"/>
        </w:rPr>
        <w:t>Wheeling Charge (LT) =</w:t>
      </w:r>
      <w:r w:rsidRPr="00DA1CA2">
        <w:rPr>
          <w:rFonts w:asciiTheme="minorHAnsi" w:hAnsiTheme="minorHAnsi" w:cstheme="minorHAnsi"/>
          <w:w w:val="105"/>
          <w:sz w:val="24"/>
          <w:szCs w:val="24"/>
        </w:rPr>
        <w:tab/>
        <w:t>Estimated/Allocated Wheeling ARR (LT)</w:t>
      </w:r>
    </w:p>
    <w:p w:rsidR="000011E9" w:rsidRPr="00DA1CA2" w:rsidRDefault="001D4EBC" w:rsidP="00450BE5">
      <w:pPr>
        <w:pStyle w:val="BodyText"/>
        <w:ind w:left="4320" w:firstLine="720"/>
        <w:rPr>
          <w:rFonts w:asciiTheme="minorHAnsi" w:hAnsiTheme="minorHAnsi" w:cstheme="minorHAnsi"/>
          <w:w w:val="105"/>
          <w:sz w:val="24"/>
          <w:szCs w:val="24"/>
        </w:rPr>
      </w:pPr>
      <w:r w:rsidRPr="001D4EBC">
        <w:rPr>
          <w:rFonts w:asciiTheme="minorHAnsi" w:hAnsiTheme="minorHAnsi" w:cstheme="minorHAnsi"/>
          <w:w w:val="105"/>
          <w:sz w:val="24"/>
          <w:szCs w:val="24"/>
        </w:rPr>
        <w:pict>
          <v:shape id="Freeform 3" o:spid="_x0000_s1027" style="position:absolute;left:0;text-align:left;margin-left:289pt;margin-top:7.65pt;width:231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" path="m,l4620,e" filled="f">
            <v:path arrowok="t" o:connecttype="custom" o:connectlocs="0,0;2933700,0" o:connectangles="0,0"/>
            <w10:wrap type="topAndBottom" anchorx="page"/>
          </v:shape>
        </w:pict>
      </w:r>
      <w:r w:rsidR="0058769F" w:rsidRPr="00DA1CA2">
        <w:rPr>
          <w:rFonts w:asciiTheme="minorHAnsi" w:hAnsiTheme="minorHAnsi" w:cstheme="minorHAnsi"/>
          <w:w w:val="105"/>
          <w:sz w:val="24"/>
          <w:szCs w:val="24"/>
        </w:rPr>
        <w:t>Energy wheeled (LT)</w:t>
      </w:r>
    </w:p>
    <w:p w:rsidR="000011E9" w:rsidRPr="00DA1CA2" w:rsidRDefault="000011E9">
      <w:pPr>
        <w:pStyle w:val="BodyText"/>
        <w:spacing w:before="7"/>
        <w:rPr>
          <w:rFonts w:asciiTheme="minorHAnsi" w:hAnsiTheme="minorHAnsi" w:cstheme="minorHAnsi"/>
          <w:w w:val="105"/>
          <w:sz w:val="24"/>
          <w:szCs w:val="24"/>
        </w:rPr>
      </w:pPr>
    </w:p>
    <w:p w:rsidR="000011E9" w:rsidRPr="00DA1CA2" w:rsidRDefault="0058769F">
      <w:pPr>
        <w:pStyle w:val="BodyText"/>
        <w:spacing w:before="101"/>
        <w:ind w:left="1276"/>
        <w:rPr>
          <w:rFonts w:asciiTheme="minorHAnsi" w:hAnsiTheme="minorHAnsi" w:cstheme="minorHAnsi"/>
          <w:w w:val="105"/>
          <w:sz w:val="24"/>
          <w:szCs w:val="24"/>
        </w:rPr>
      </w:pPr>
      <w:r w:rsidRPr="00DA1CA2">
        <w:rPr>
          <w:rFonts w:asciiTheme="minorHAnsi" w:hAnsiTheme="minorHAnsi" w:cstheme="minorHAnsi"/>
          <w:w w:val="105"/>
          <w:sz w:val="24"/>
          <w:szCs w:val="24"/>
        </w:rPr>
        <w:t>Where,</w:t>
      </w:r>
    </w:p>
    <w:p w:rsidR="000011E9" w:rsidRPr="00DA1CA2" w:rsidRDefault="000011E9">
      <w:pPr>
        <w:pStyle w:val="BodyText"/>
        <w:spacing w:before="5"/>
        <w:rPr>
          <w:rFonts w:asciiTheme="minorHAnsi" w:hAnsiTheme="minorHAnsi" w:cstheme="minorHAnsi"/>
          <w:w w:val="105"/>
          <w:sz w:val="24"/>
          <w:szCs w:val="24"/>
        </w:rPr>
      </w:pPr>
    </w:p>
    <w:p w:rsidR="000011E9" w:rsidRPr="00DA1CA2" w:rsidRDefault="0058769F">
      <w:pPr>
        <w:pStyle w:val="BodyText"/>
        <w:ind w:left="1439"/>
        <w:rPr>
          <w:rFonts w:asciiTheme="minorHAnsi" w:hAnsiTheme="minorHAnsi" w:cstheme="minorHAnsi"/>
          <w:w w:val="105"/>
          <w:sz w:val="24"/>
          <w:szCs w:val="24"/>
        </w:rPr>
      </w:pPr>
      <w:r w:rsidRPr="00DA1CA2">
        <w:rPr>
          <w:rFonts w:asciiTheme="minorHAnsi" w:hAnsiTheme="minorHAnsi" w:cstheme="minorHAnsi"/>
          <w:w w:val="105"/>
          <w:sz w:val="24"/>
          <w:szCs w:val="24"/>
        </w:rPr>
        <w:t>Estimated Wheeling ARR = Wheeling ARR (HT) + Wheeling ARR (LT)</w:t>
      </w:r>
    </w:p>
    <w:p w:rsidR="000011E9" w:rsidRPr="00DA1CA2" w:rsidRDefault="000011E9">
      <w:pPr>
        <w:pStyle w:val="BodyText"/>
        <w:spacing w:before="2"/>
        <w:rPr>
          <w:rFonts w:asciiTheme="minorHAnsi" w:hAnsiTheme="minorHAnsi" w:cstheme="minorHAnsi"/>
          <w:w w:val="105"/>
          <w:sz w:val="24"/>
          <w:szCs w:val="24"/>
        </w:rPr>
      </w:pPr>
    </w:p>
    <w:p w:rsidR="000011E9" w:rsidRPr="00DA1CA2" w:rsidRDefault="0058769F">
      <w:pPr>
        <w:pStyle w:val="BodyText"/>
        <w:spacing w:line="360" w:lineRule="auto"/>
        <w:ind w:left="1439" w:right="50"/>
        <w:rPr>
          <w:rFonts w:asciiTheme="minorHAnsi" w:hAnsiTheme="minorHAnsi" w:cstheme="minorHAnsi"/>
          <w:w w:val="105"/>
          <w:sz w:val="24"/>
          <w:szCs w:val="24"/>
        </w:rPr>
      </w:pPr>
      <w:r w:rsidRPr="00DA1CA2">
        <w:rPr>
          <w:rFonts w:asciiTheme="minorHAnsi" w:hAnsiTheme="minorHAnsi" w:cstheme="minorHAnsi"/>
          <w:w w:val="105"/>
          <w:sz w:val="24"/>
          <w:szCs w:val="24"/>
        </w:rPr>
        <w:t>HT (Loss) = Average of 52-week Loss at HT distribution system based on sample feeder level Energy Audit (viz. technical loss assessment)</w:t>
      </w:r>
    </w:p>
    <w:p w:rsidR="000011E9" w:rsidRPr="00DA1CA2" w:rsidRDefault="0058769F">
      <w:pPr>
        <w:pStyle w:val="BodyText"/>
        <w:spacing w:before="119" w:line="360" w:lineRule="auto"/>
        <w:ind w:left="1439"/>
        <w:rPr>
          <w:rFonts w:asciiTheme="minorHAnsi" w:hAnsiTheme="minorHAnsi" w:cstheme="minorHAnsi"/>
          <w:w w:val="105"/>
          <w:sz w:val="24"/>
          <w:szCs w:val="24"/>
        </w:rPr>
      </w:pPr>
      <w:r w:rsidRPr="00DA1CA2">
        <w:rPr>
          <w:rFonts w:asciiTheme="minorHAnsi" w:hAnsiTheme="minorHAnsi" w:cstheme="minorHAnsi"/>
          <w:w w:val="105"/>
          <w:sz w:val="24"/>
          <w:szCs w:val="24"/>
        </w:rPr>
        <w:t>LT (Loss) = Average of 52-week Loss at LT distribution system based on sample feeder level Energy Audit (viz. Technical loss assessment)]</w:t>
      </w:r>
      <w:r w:rsidR="00826ECD">
        <w:rPr>
          <w:rFonts w:asciiTheme="minorHAnsi" w:hAnsiTheme="minorHAnsi" w:cstheme="minorHAnsi"/>
          <w:w w:val="105"/>
          <w:sz w:val="24"/>
          <w:szCs w:val="24"/>
        </w:rPr>
        <w:t>.</w:t>
      </w:r>
    </w:p>
    <w:p w:rsidR="000011E9" w:rsidRPr="00DA1CA2" w:rsidRDefault="000011E9">
      <w:pPr>
        <w:rPr>
          <w:rFonts w:asciiTheme="minorHAnsi" w:hAnsiTheme="minorHAnsi" w:cstheme="minorHAnsi"/>
          <w:w w:val="105"/>
          <w:sz w:val="24"/>
          <w:szCs w:val="24"/>
        </w:rPr>
        <w:sectPr w:rsidR="000011E9" w:rsidRPr="00DA1CA2">
          <w:pgSz w:w="12240" w:h="15840"/>
          <w:pgMar w:top="1200" w:right="700" w:bottom="280" w:left="1700" w:header="720" w:footer="720" w:gutter="0"/>
          <w:cols w:space="720"/>
        </w:sectPr>
      </w:pPr>
    </w:p>
    <w:p w:rsidR="000011E9" w:rsidRPr="00DA1CA2" w:rsidRDefault="0058769F" w:rsidP="00826ECD">
      <w:pPr>
        <w:pStyle w:val="ListParagraph"/>
        <w:numPr>
          <w:ilvl w:val="1"/>
          <w:numId w:val="5"/>
        </w:numPr>
        <w:tabs>
          <w:tab w:val="left" w:pos="1440"/>
        </w:tabs>
        <w:spacing w:before="79" w:line="360" w:lineRule="auto"/>
        <w:ind w:right="118" w:hanging="446"/>
        <w:rPr>
          <w:rFonts w:asciiTheme="minorHAnsi" w:hAnsiTheme="minorHAnsi" w:cstheme="minorHAnsi"/>
          <w:w w:val="105"/>
          <w:sz w:val="24"/>
          <w:szCs w:val="24"/>
        </w:rPr>
      </w:pPr>
      <w:r w:rsidRPr="00DA1CA2">
        <w:rPr>
          <w:rFonts w:asciiTheme="minorHAnsi" w:hAnsiTheme="minorHAnsi" w:cstheme="minorHAnsi"/>
          <w:w w:val="105"/>
          <w:sz w:val="24"/>
          <w:szCs w:val="24"/>
        </w:rPr>
        <w:lastRenderedPageBreak/>
        <w:t>Wheeling Charge for Green Energy Open Access shall be computed in Rs/kWh and it shall be charged on the actual energy wheeled:</w:t>
      </w:r>
    </w:p>
    <w:p w:rsidR="000011E9" w:rsidRPr="00DA1CA2" w:rsidRDefault="0058769F">
      <w:pPr>
        <w:pStyle w:val="BodyText"/>
        <w:spacing w:before="120" w:line="360" w:lineRule="auto"/>
        <w:ind w:left="1701" w:right="118"/>
        <w:jc w:val="both"/>
        <w:rPr>
          <w:rFonts w:asciiTheme="minorHAnsi" w:hAnsiTheme="minorHAnsi" w:cstheme="minorHAnsi"/>
          <w:w w:val="105"/>
          <w:sz w:val="24"/>
          <w:szCs w:val="24"/>
        </w:rPr>
      </w:pPr>
      <w:r w:rsidRPr="00ED4ADE">
        <w:rPr>
          <w:rFonts w:asciiTheme="minorHAnsi" w:hAnsiTheme="minorHAnsi" w:cstheme="minorHAnsi"/>
          <w:w w:val="105"/>
          <w:sz w:val="24"/>
          <w:szCs w:val="24"/>
        </w:rPr>
        <w:t xml:space="preserve">Provided that the existing waivers or concessions in the Wheeling Charges applicable for renewable energy open access transactions </w:t>
      </w:r>
      <w:r w:rsidR="005E1D4F" w:rsidRPr="00ED4ADE">
        <w:rPr>
          <w:rFonts w:asciiTheme="minorHAnsi" w:hAnsiTheme="minorHAnsi" w:cstheme="minorHAnsi"/>
          <w:w w:val="105"/>
          <w:sz w:val="24"/>
          <w:szCs w:val="24"/>
        </w:rPr>
        <w:t>shall be as per</w:t>
      </w:r>
      <w:r w:rsidRPr="00ED4ADE">
        <w:rPr>
          <w:rFonts w:asciiTheme="minorHAnsi" w:hAnsiTheme="minorHAnsi" w:cstheme="minorHAnsi"/>
          <w:w w:val="105"/>
          <w:sz w:val="24"/>
          <w:szCs w:val="24"/>
        </w:rPr>
        <w:t xml:space="preserve"> </w:t>
      </w:r>
      <w:r w:rsidR="005E1D4F" w:rsidRPr="00ED4ADE">
        <w:rPr>
          <w:rFonts w:asciiTheme="minorHAnsi" w:hAnsiTheme="minorHAnsi" w:cstheme="minorHAnsi"/>
          <w:w w:val="105"/>
          <w:sz w:val="24"/>
          <w:szCs w:val="24"/>
        </w:rPr>
        <w:t>N</w:t>
      </w:r>
      <w:r w:rsidRPr="00ED4ADE">
        <w:rPr>
          <w:rFonts w:asciiTheme="minorHAnsi" w:hAnsiTheme="minorHAnsi" w:cstheme="minorHAnsi"/>
          <w:w w:val="105"/>
          <w:sz w:val="24"/>
          <w:szCs w:val="24"/>
        </w:rPr>
        <w:t xml:space="preserve">ERC </w:t>
      </w:r>
      <w:r w:rsidR="005E1D4F" w:rsidRPr="00ED4ADE">
        <w:rPr>
          <w:rFonts w:asciiTheme="minorHAnsi" w:hAnsiTheme="minorHAnsi" w:cstheme="minorHAnsi"/>
          <w:w w:val="105"/>
          <w:sz w:val="24"/>
          <w:szCs w:val="24"/>
        </w:rPr>
        <w:t>O</w:t>
      </w:r>
      <w:r w:rsidRPr="00ED4ADE">
        <w:rPr>
          <w:rFonts w:asciiTheme="minorHAnsi" w:hAnsiTheme="minorHAnsi" w:cstheme="minorHAnsi"/>
          <w:w w:val="105"/>
          <w:sz w:val="24"/>
          <w:szCs w:val="24"/>
        </w:rPr>
        <w:t>pen Access Regulations</w:t>
      </w:r>
      <w:r w:rsidR="005E1D4F" w:rsidRPr="00ED4ADE">
        <w:rPr>
          <w:rFonts w:asciiTheme="minorHAnsi" w:hAnsiTheme="minorHAnsi" w:cstheme="minorHAnsi"/>
          <w:w w:val="105"/>
          <w:sz w:val="24"/>
          <w:szCs w:val="24"/>
        </w:rPr>
        <w:t>.</w:t>
      </w:r>
    </w:p>
    <w:p w:rsidR="000011E9" w:rsidRPr="00DA1CA2" w:rsidRDefault="0058769F" w:rsidP="005E1D4F">
      <w:pPr>
        <w:pStyle w:val="ListParagraph"/>
        <w:numPr>
          <w:ilvl w:val="0"/>
          <w:numId w:val="5"/>
        </w:numPr>
        <w:tabs>
          <w:tab w:val="left" w:pos="1140"/>
        </w:tabs>
        <w:spacing w:before="121" w:line="360" w:lineRule="auto"/>
        <w:ind w:left="1134" w:right="225" w:hanging="261"/>
        <w:rPr>
          <w:rFonts w:asciiTheme="minorHAnsi" w:hAnsiTheme="minorHAnsi" w:cstheme="minorHAnsi"/>
          <w:w w:val="105"/>
          <w:sz w:val="24"/>
          <w:szCs w:val="24"/>
        </w:rPr>
      </w:pPr>
      <w:r w:rsidRPr="00DA1CA2">
        <w:rPr>
          <w:rFonts w:asciiTheme="minorHAnsi" w:hAnsiTheme="minorHAnsi" w:cstheme="minorHAnsi"/>
          <w:w w:val="105"/>
          <w:sz w:val="24"/>
          <w:szCs w:val="24"/>
        </w:rPr>
        <w:t>While determining Wheeling Charges for the ensuring year, Wheeling ARR shall be trued up by the Commission as per the provisions of the MYT Regulations and upon considering the shortfall (excess) revenue recovered from Wheeling Charges for the previous year.</w:t>
      </w:r>
    </w:p>
    <w:p w:rsidR="000011E9" w:rsidRPr="00DA1CA2" w:rsidRDefault="0058769F" w:rsidP="005E1D4F">
      <w:pPr>
        <w:pStyle w:val="ListParagraph"/>
        <w:numPr>
          <w:ilvl w:val="0"/>
          <w:numId w:val="5"/>
        </w:numPr>
        <w:tabs>
          <w:tab w:val="left" w:pos="1114"/>
        </w:tabs>
        <w:spacing w:before="121" w:line="360" w:lineRule="auto"/>
        <w:ind w:left="1134" w:right="220" w:hanging="283"/>
        <w:rPr>
          <w:rFonts w:asciiTheme="minorHAnsi" w:hAnsiTheme="minorHAnsi" w:cstheme="minorHAnsi"/>
          <w:w w:val="105"/>
          <w:sz w:val="24"/>
          <w:szCs w:val="24"/>
        </w:rPr>
      </w:pPr>
      <w:r w:rsidRPr="00DA1CA2">
        <w:rPr>
          <w:rFonts w:asciiTheme="minorHAnsi" w:hAnsiTheme="minorHAnsi" w:cstheme="minorHAnsi"/>
          <w:w w:val="105"/>
          <w:sz w:val="24"/>
          <w:szCs w:val="24"/>
        </w:rPr>
        <w:t>In case, where a dedicated distribution system used for open access has been constructed for exclusive use of an open access consumer, the wheeling charges for such dedicated system shall be worked out by distribution licensee for their respective systems and get the same approved by the Commission. Such charges shall be borne entirely by such open access consumer till such time the surplus capacity is allotted and used for by other persons:</w:t>
      </w:r>
    </w:p>
    <w:p w:rsidR="000011E9" w:rsidRPr="00DA1CA2" w:rsidRDefault="0058769F">
      <w:pPr>
        <w:pStyle w:val="BodyText"/>
        <w:spacing w:before="120" w:line="360" w:lineRule="auto"/>
        <w:ind w:left="1559" w:right="114"/>
        <w:jc w:val="both"/>
        <w:rPr>
          <w:rFonts w:asciiTheme="minorHAnsi" w:hAnsiTheme="minorHAnsi" w:cstheme="minorHAnsi"/>
          <w:w w:val="105"/>
          <w:sz w:val="24"/>
          <w:szCs w:val="24"/>
        </w:rPr>
      </w:pPr>
      <w:proofErr w:type="gramStart"/>
      <w:r w:rsidRPr="00DA1CA2">
        <w:rPr>
          <w:rFonts w:asciiTheme="minorHAnsi" w:hAnsiTheme="minorHAnsi" w:cstheme="minorHAnsi"/>
          <w:w w:val="105"/>
          <w:sz w:val="24"/>
          <w:szCs w:val="24"/>
        </w:rPr>
        <w:t>Provided also that an open access consumer connected to the Intra State Transmission system shall be liable to pay the wheeling charges determined under this regulation, if such consumer was paying wheeling charges directly or indirectly before availing the green energy open access.</w:t>
      </w:r>
      <w:proofErr w:type="gramEnd"/>
    </w:p>
    <w:p w:rsidR="000011E9" w:rsidRPr="00DA1CA2" w:rsidRDefault="0058769F" w:rsidP="007A10D6">
      <w:pPr>
        <w:pStyle w:val="ListParagraph"/>
        <w:numPr>
          <w:ilvl w:val="0"/>
          <w:numId w:val="5"/>
        </w:numPr>
        <w:tabs>
          <w:tab w:val="left" w:pos="1152"/>
        </w:tabs>
        <w:spacing w:before="119" w:line="360" w:lineRule="auto"/>
        <w:ind w:left="1134" w:right="221" w:hanging="283"/>
        <w:rPr>
          <w:rFonts w:asciiTheme="minorHAnsi" w:hAnsiTheme="minorHAnsi" w:cstheme="minorHAnsi"/>
          <w:w w:val="105"/>
          <w:sz w:val="24"/>
          <w:szCs w:val="24"/>
        </w:rPr>
      </w:pPr>
      <w:r w:rsidRPr="00DA1CA2">
        <w:rPr>
          <w:rFonts w:asciiTheme="minorHAnsi" w:hAnsiTheme="minorHAnsi" w:cstheme="minorHAnsi"/>
          <w:w w:val="105"/>
          <w:sz w:val="24"/>
          <w:szCs w:val="24"/>
        </w:rPr>
        <w:t>In addition to Wheeling Charge, Wheeling loss shall be applicable to consumers seeking Green Energy Open Access and it shall be determined as average of 52-week Wheeling loss for the previous year as approved by the Commission:</w:t>
      </w:r>
    </w:p>
    <w:p w:rsidR="000011E9" w:rsidRPr="00DA1CA2" w:rsidRDefault="0058769F">
      <w:pPr>
        <w:pStyle w:val="BodyText"/>
        <w:spacing w:before="121" w:line="360" w:lineRule="auto"/>
        <w:ind w:left="1559" w:right="117"/>
        <w:jc w:val="both"/>
        <w:rPr>
          <w:rFonts w:asciiTheme="minorHAnsi" w:hAnsiTheme="minorHAnsi" w:cstheme="minorHAnsi"/>
          <w:w w:val="105"/>
          <w:sz w:val="24"/>
          <w:szCs w:val="24"/>
        </w:rPr>
      </w:pPr>
      <w:proofErr w:type="gramStart"/>
      <w:r w:rsidRPr="00DA1CA2">
        <w:rPr>
          <w:rFonts w:asciiTheme="minorHAnsi" w:hAnsiTheme="minorHAnsi" w:cstheme="minorHAnsi"/>
          <w:w w:val="105"/>
          <w:sz w:val="24"/>
          <w:szCs w:val="24"/>
        </w:rPr>
        <w:t>Provided that, the Wheeling loss shall include only technical loss and not Aggregate Technical and Commercial loss of that Distribution Licensee.</w:t>
      </w:r>
      <w:proofErr w:type="gramEnd"/>
      <w:r w:rsidRPr="00DA1CA2">
        <w:rPr>
          <w:rFonts w:asciiTheme="minorHAnsi" w:hAnsiTheme="minorHAnsi" w:cstheme="minorHAnsi"/>
          <w:w w:val="105"/>
          <w:sz w:val="24"/>
          <w:szCs w:val="24"/>
        </w:rPr>
        <w:t xml:space="preserve"> The Commission shall consider the Average 52-week loss for HT/LT network, as applicable;</w:t>
      </w:r>
    </w:p>
    <w:p w:rsidR="000011E9" w:rsidRPr="00DA1CA2" w:rsidRDefault="0058769F">
      <w:pPr>
        <w:pStyle w:val="BodyText"/>
        <w:spacing w:before="121" w:line="360" w:lineRule="auto"/>
        <w:ind w:left="1559" w:right="118"/>
        <w:jc w:val="both"/>
        <w:rPr>
          <w:rFonts w:asciiTheme="minorHAnsi" w:hAnsiTheme="minorHAnsi" w:cstheme="minorHAnsi"/>
          <w:w w:val="105"/>
          <w:sz w:val="24"/>
          <w:szCs w:val="24"/>
        </w:rPr>
      </w:pPr>
      <w:proofErr w:type="gramStart"/>
      <w:r w:rsidRPr="00DA1CA2">
        <w:rPr>
          <w:rFonts w:asciiTheme="minorHAnsi" w:hAnsiTheme="minorHAnsi" w:cstheme="minorHAnsi"/>
          <w:w w:val="105"/>
          <w:sz w:val="24"/>
          <w:szCs w:val="24"/>
        </w:rPr>
        <w:t>Provided that if feeder-wise data of losses is not available, the Commission shall consider the voltage-wise sample feeder for determining the wheeling losses.</w:t>
      </w:r>
      <w:proofErr w:type="gramEnd"/>
    </w:p>
    <w:p w:rsidR="000011E9" w:rsidRPr="00DA1CA2" w:rsidRDefault="000011E9">
      <w:pPr>
        <w:pStyle w:val="BodyText"/>
        <w:spacing w:before="5"/>
        <w:rPr>
          <w:rFonts w:asciiTheme="minorHAnsi" w:hAnsiTheme="minorHAnsi" w:cstheme="minorHAnsi"/>
          <w:w w:val="105"/>
          <w:sz w:val="24"/>
          <w:szCs w:val="24"/>
        </w:rPr>
      </w:pPr>
    </w:p>
    <w:p w:rsidR="001D731D" w:rsidRDefault="0058769F" w:rsidP="001D731D">
      <w:pPr>
        <w:pStyle w:val="BodyText"/>
        <w:spacing w:line="360" w:lineRule="auto"/>
        <w:ind w:left="1276" w:right="59"/>
        <w:rPr>
          <w:rFonts w:asciiTheme="minorHAnsi" w:hAnsiTheme="minorHAnsi" w:cstheme="minorHAnsi"/>
          <w:w w:val="105"/>
          <w:sz w:val="24"/>
          <w:szCs w:val="24"/>
        </w:rPr>
      </w:pPr>
      <w:r w:rsidRPr="00DA1CA2">
        <w:rPr>
          <w:rFonts w:asciiTheme="minorHAnsi" w:hAnsiTheme="minorHAnsi" w:cstheme="minorHAnsi"/>
          <w:w w:val="105"/>
          <w:sz w:val="24"/>
          <w:szCs w:val="24"/>
        </w:rPr>
        <w:lastRenderedPageBreak/>
        <w:t>Such wheeling charges and losses shall be levied only</w:t>
      </w:r>
      <w:r w:rsidR="001D731D">
        <w:rPr>
          <w:rFonts w:asciiTheme="minorHAnsi" w:hAnsiTheme="minorHAnsi" w:cstheme="minorHAnsi"/>
          <w:w w:val="105"/>
          <w:sz w:val="24"/>
          <w:szCs w:val="24"/>
        </w:rPr>
        <w:t xml:space="preserve"> </w:t>
      </w:r>
      <w:r w:rsidRPr="00DA1CA2">
        <w:rPr>
          <w:rFonts w:asciiTheme="minorHAnsi" w:hAnsiTheme="minorHAnsi" w:cstheme="minorHAnsi"/>
          <w:w w:val="105"/>
          <w:sz w:val="24"/>
          <w:szCs w:val="24"/>
        </w:rPr>
        <w:t xml:space="preserve">once. </w:t>
      </w:r>
    </w:p>
    <w:p w:rsidR="000011E9" w:rsidRPr="001D731D" w:rsidRDefault="0058769F" w:rsidP="001D731D">
      <w:pPr>
        <w:pStyle w:val="BodyText"/>
        <w:spacing w:line="360" w:lineRule="auto"/>
        <w:ind w:left="1276" w:right="59"/>
        <w:rPr>
          <w:rFonts w:asciiTheme="minorHAnsi" w:hAnsiTheme="minorHAnsi" w:cstheme="minorHAnsi"/>
          <w:i/>
          <w:iCs/>
          <w:w w:val="105"/>
          <w:sz w:val="24"/>
          <w:szCs w:val="24"/>
        </w:rPr>
      </w:pPr>
      <w:r w:rsidRPr="001D731D">
        <w:rPr>
          <w:rFonts w:asciiTheme="minorHAnsi" w:hAnsiTheme="minorHAnsi" w:cstheme="minorHAnsi"/>
          <w:i/>
          <w:iCs/>
          <w:w w:val="105"/>
          <w:sz w:val="24"/>
          <w:szCs w:val="24"/>
        </w:rPr>
        <w:t>Explanation-</w:t>
      </w:r>
    </w:p>
    <w:p w:rsidR="000011E9" w:rsidRPr="001D731D" w:rsidRDefault="0058769F">
      <w:pPr>
        <w:pStyle w:val="BodyText"/>
        <w:spacing w:line="360" w:lineRule="auto"/>
        <w:ind w:left="1276" w:right="296"/>
        <w:rPr>
          <w:rFonts w:asciiTheme="minorHAnsi" w:hAnsiTheme="minorHAnsi" w:cstheme="minorHAnsi"/>
          <w:i/>
          <w:iCs/>
          <w:w w:val="105"/>
          <w:sz w:val="24"/>
          <w:szCs w:val="24"/>
        </w:rPr>
      </w:pPr>
      <w:r w:rsidRPr="001D731D">
        <w:rPr>
          <w:rFonts w:asciiTheme="minorHAnsi" w:hAnsiTheme="minorHAnsi" w:cstheme="minorHAnsi"/>
          <w:i/>
          <w:iCs/>
          <w:w w:val="105"/>
          <w:sz w:val="24"/>
          <w:szCs w:val="24"/>
        </w:rPr>
        <w:t>If wheeling charges and losses had been levied on full quantum of banked energy during injection, then no further wheeling charges and losses shall be levied on banked energy during drawl.</w:t>
      </w:r>
    </w:p>
    <w:p w:rsidR="000011E9" w:rsidRDefault="000011E9">
      <w:pPr>
        <w:spacing w:line="360" w:lineRule="auto"/>
      </w:pPr>
    </w:p>
    <w:p w:rsidR="000011E9" w:rsidRDefault="0058769F">
      <w:pPr>
        <w:pStyle w:val="Heading2"/>
        <w:numPr>
          <w:ilvl w:val="0"/>
          <w:numId w:val="7"/>
        </w:numPr>
        <w:tabs>
          <w:tab w:val="left" w:pos="514"/>
        </w:tabs>
        <w:spacing w:before="80"/>
        <w:ind w:left="513" w:hanging="340"/>
        <w:jc w:val="left"/>
      </w:pPr>
      <w:r>
        <w:t>Cross</w:t>
      </w:r>
      <w:r>
        <w:rPr>
          <w:spacing w:val="-4"/>
        </w:rPr>
        <w:t xml:space="preserve"> </w:t>
      </w:r>
      <w:r>
        <w:t>subsidy</w:t>
      </w:r>
      <w:r>
        <w:rPr>
          <w:spacing w:val="-4"/>
        </w:rPr>
        <w:t xml:space="preserve"> </w:t>
      </w:r>
      <w:r>
        <w:t>surcharge</w:t>
      </w:r>
    </w:p>
    <w:p w:rsidR="000011E9" w:rsidRDefault="000011E9">
      <w:pPr>
        <w:pStyle w:val="BodyText"/>
        <w:spacing w:before="1"/>
        <w:rPr>
          <w:b/>
          <w:sz w:val="34"/>
        </w:rPr>
      </w:pPr>
    </w:p>
    <w:p w:rsidR="000011E9" w:rsidRPr="00014438" w:rsidRDefault="0058769F" w:rsidP="00014438">
      <w:pPr>
        <w:pStyle w:val="ListParagraph"/>
        <w:numPr>
          <w:ilvl w:val="0"/>
          <w:numId w:val="4"/>
        </w:numPr>
        <w:tabs>
          <w:tab w:val="left" w:pos="1109"/>
        </w:tabs>
        <w:spacing w:line="360" w:lineRule="auto"/>
        <w:ind w:right="582" w:hanging="267"/>
        <w:rPr>
          <w:rFonts w:asciiTheme="minorHAnsi" w:hAnsiTheme="minorHAnsi" w:cstheme="minorHAnsi"/>
          <w:w w:val="105"/>
          <w:sz w:val="24"/>
          <w:szCs w:val="24"/>
        </w:rPr>
      </w:pPr>
      <w:r w:rsidRPr="00014438">
        <w:rPr>
          <w:rFonts w:asciiTheme="minorHAnsi" w:hAnsiTheme="minorHAnsi" w:cstheme="minorHAnsi"/>
          <w:w w:val="105"/>
          <w:sz w:val="24"/>
          <w:szCs w:val="24"/>
        </w:rPr>
        <w:t>If Green energy open access facility is availed by a cross-</w:t>
      </w:r>
      <w:proofErr w:type="spellStart"/>
      <w:r w:rsidRPr="00014438">
        <w:rPr>
          <w:rFonts w:asciiTheme="minorHAnsi" w:hAnsiTheme="minorHAnsi" w:cstheme="minorHAnsi"/>
          <w:w w:val="105"/>
          <w:sz w:val="24"/>
          <w:szCs w:val="24"/>
        </w:rPr>
        <w:t>subsidising</w:t>
      </w:r>
      <w:proofErr w:type="spellEnd"/>
      <w:r w:rsidRPr="00014438">
        <w:rPr>
          <w:rFonts w:asciiTheme="minorHAnsi" w:hAnsiTheme="minorHAnsi" w:cstheme="minorHAnsi"/>
          <w:w w:val="105"/>
          <w:sz w:val="24"/>
          <w:szCs w:val="24"/>
        </w:rPr>
        <w:t xml:space="preserve"> consumer of a distribution licensee of the State, then such consumer, in addition to transmission and wheeling charges, shall pay cross subsidy surcharge determined by the Commission. Cross subsidy surcharge determined on Per Unit basis shall be payable, monthly by the green energy open access consumers based on the actual energy drawn during the month through open access. The amount of surcharge shall be paid to the distribution licensee of the area of supply from whom the consumer was availing supply before seeking open access.</w:t>
      </w:r>
    </w:p>
    <w:p w:rsidR="000011E9" w:rsidRPr="00014438" w:rsidRDefault="0058769F" w:rsidP="00014438">
      <w:pPr>
        <w:pStyle w:val="ListParagraph"/>
        <w:numPr>
          <w:ilvl w:val="0"/>
          <w:numId w:val="4"/>
        </w:numPr>
        <w:tabs>
          <w:tab w:val="left" w:pos="1157"/>
        </w:tabs>
        <w:spacing w:before="122" w:line="360" w:lineRule="auto"/>
        <w:ind w:right="583" w:hanging="267"/>
        <w:rPr>
          <w:rFonts w:asciiTheme="minorHAnsi" w:hAnsiTheme="minorHAnsi" w:cstheme="minorHAnsi"/>
          <w:w w:val="105"/>
          <w:sz w:val="24"/>
          <w:szCs w:val="24"/>
        </w:rPr>
      </w:pPr>
      <w:r w:rsidRPr="00014438">
        <w:rPr>
          <w:rFonts w:asciiTheme="minorHAnsi" w:hAnsiTheme="minorHAnsi" w:cstheme="minorHAnsi"/>
          <w:w w:val="105"/>
          <w:sz w:val="24"/>
          <w:szCs w:val="24"/>
        </w:rPr>
        <w:t>The Cross-Subsidy Surcharge (CSS) shall be determined in accordance with the following formula specified in Tariff Policy,2016 as amended time to time:</w:t>
      </w:r>
    </w:p>
    <w:p w:rsidR="000011E9" w:rsidRPr="00014438" w:rsidRDefault="0058769F">
      <w:pPr>
        <w:pStyle w:val="BodyText"/>
        <w:spacing w:before="119"/>
        <w:ind w:left="1238"/>
        <w:rPr>
          <w:rFonts w:asciiTheme="minorHAnsi" w:hAnsiTheme="minorHAnsi" w:cstheme="minorHAnsi"/>
          <w:w w:val="105"/>
          <w:sz w:val="24"/>
          <w:szCs w:val="24"/>
        </w:rPr>
      </w:pPr>
      <w:r w:rsidRPr="00014438">
        <w:rPr>
          <w:rFonts w:asciiTheme="minorHAnsi" w:hAnsiTheme="minorHAnsi" w:cstheme="minorHAnsi"/>
          <w:w w:val="105"/>
          <w:sz w:val="24"/>
          <w:szCs w:val="24"/>
        </w:rPr>
        <w:t>CSS (S) = T – [C/ (1-L/100) + D+ R]</w:t>
      </w:r>
    </w:p>
    <w:p w:rsidR="000011E9" w:rsidRPr="00014438" w:rsidRDefault="000011E9">
      <w:pPr>
        <w:pStyle w:val="BodyText"/>
        <w:spacing w:before="5"/>
        <w:rPr>
          <w:rFonts w:asciiTheme="minorHAnsi" w:hAnsiTheme="minorHAnsi" w:cstheme="minorHAnsi"/>
          <w:w w:val="105"/>
          <w:sz w:val="24"/>
          <w:szCs w:val="24"/>
        </w:rPr>
      </w:pPr>
    </w:p>
    <w:p w:rsidR="000011E9" w:rsidRPr="00014438" w:rsidRDefault="0058769F">
      <w:pPr>
        <w:pStyle w:val="BodyText"/>
        <w:ind w:left="1238"/>
        <w:rPr>
          <w:rFonts w:asciiTheme="minorHAnsi" w:hAnsiTheme="minorHAnsi" w:cstheme="minorHAnsi"/>
          <w:w w:val="105"/>
          <w:sz w:val="24"/>
          <w:szCs w:val="24"/>
        </w:rPr>
      </w:pPr>
      <w:r w:rsidRPr="00014438">
        <w:rPr>
          <w:rFonts w:asciiTheme="minorHAnsi" w:hAnsiTheme="minorHAnsi" w:cstheme="minorHAnsi"/>
          <w:w w:val="105"/>
          <w:sz w:val="24"/>
          <w:szCs w:val="24"/>
        </w:rPr>
        <w:t>Wherein:</w:t>
      </w:r>
    </w:p>
    <w:p w:rsidR="000011E9" w:rsidRPr="00014438" w:rsidRDefault="000011E9">
      <w:pPr>
        <w:pStyle w:val="BodyText"/>
        <w:spacing w:before="2"/>
        <w:rPr>
          <w:rFonts w:asciiTheme="minorHAnsi" w:hAnsiTheme="minorHAnsi" w:cstheme="minorHAnsi"/>
          <w:w w:val="105"/>
          <w:sz w:val="24"/>
          <w:szCs w:val="24"/>
        </w:rPr>
      </w:pPr>
    </w:p>
    <w:p w:rsidR="000011E9" w:rsidRPr="00014438" w:rsidRDefault="0058769F">
      <w:pPr>
        <w:pStyle w:val="BodyText"/>
        <w:ind w:left="1238"/>
        <w:rPr>
          <w:rFonts w:asciiTheme="minorHAnsi" w:hAnsiTheme="minorHAnsi" w:cstheme="minorHAnsi"/>
          <w:w w:val="105"/>
          <w:sz w:val="24"/>
          <w:szCs w:val="24"/>
        </w:rPr>
      </w:pPr>
      <w:r w:rsidRPr="00014438">
        <w:rPr>
          <w:rFonts w:asciiTheme="minorHAnsi" w:hAnsiTheme="minorHAnsi" w:cstheme="minorHAnsi"/>
          <w:w w:val="105"/>
          <w:sz w:val="24"/>
          <w:szCs w:val="24"/>
        </w:rPr>
        <w:t xml:space="preserve">S – </w:t>
      </w:r>
      <w:proofErr w:type="gramStart"/>
      <w:r w:rsidRPr="00014438">
        <w:rPr>
          <w:rFonts w:asciiTheme="minorHAnsi" w:hAnsiTheme="minorHAnsi" w:cstheme="minorHAnsi"/>
          <w:w w:val="105"/>
          <w:sz w:val="24"/>
          <w:szCs w:val="24"/>
        </w:rPr>
        <w:t>surcharge</w:t>
      </w:r>
      <w:proofErr w:type="gramEnd"/>
    </w:p>
    <w:p w:rsidR="000011E9" w:rsidRPr="00014438" w:rsidRDefault="000011E9">
      <w:pPr>
        <w:pStyle w:val="BodyText"/>
        <w:spacing w:before="3"/>
        <w:rPr>
          <w:rFonts w:asciiTheme="minorHAnsi" w:hAnsiTheme="minorHAnsi" w:cstheme="minorHAnsi"/>
          <w:w w:val="105"/>
          <w:sz w:val="24"/>
          <w:szCs w:val="24"/>
        </w:rPr>
      </w:pPr>
    </w:p>
    <w:p w:rsidR="000011E9" w:rsidRPr="00014438" w:rsidRDefault="0058769F">
      <w:pPr>
        <w:pStyle w:val="BodyText"/>
        <w:spacing w:line="360" w:lineRule="auto"/>
        <w:ind w:left="1238" w:right="296"/>
        <w:rPr>
          <w:rFonts w:asciiTheme="minorHAnsi" w:hAnsiTheme="minorHAnsi" w:cstheme="minorHAnsi"/>
          <w:w w:val="105"/>
          <w:sz w:val="24"/>
          <w:szCs w:val="24"/>
        </w:rPr>
      </w:pPr>
      <w:r w:rsidRPr="00014438">
        <w:rPr>
          <w:rFonts w:asciiTheme="minorHAnsi" w:hAnsiTheme="minorHAnsi" w:cstheme="minorHAnsi"/>
          <w:w w:val="105"/>
          <w:sz w:val="24"/>
          <w:szCs w:val="24"/>
        </w:rPr>
        <w:t>T – Tariff payable by the relevant category of consumers, including reflecting the Renewable Purchase Obligation</w:t>
      </w:r>
    </w:p>
    <w:p w:rsidR="000011E9" w:rsidRPr="00014438" w:rsidRDefault="0058769F">
      <w:pPr>
        <w:pStyle w:val="BodyText"/>
        <w:spacing w:before="119" w:line="362" w:lineRule="auto"/>
        <w:ind w:left="1238" w:right="50"/>
        <w:rPr>
          <w:rFonts w:asciiTheme="minorHAnsi" w:hAnsiTheme="minorHAnsi" w:cstheme="minorHAnsi"/>
          <w:w w:val="105"/>
          <w:sz w:val="24"/>
          <w:szCs w:val="24"/>
        </w:rPr>
      </w:pPr>
      <w:r w:rsidRPr="00014438">
        <w:rPr>
          <w:rFonts w:asciiTheme="minorHAnsi" w:hAnsiTheme="minorHAnsi" w:cstheme="minorHAnsi"/>
          <w:w w:val="105"/>
          <w:sz w:val="24"/>
          <w:szCs w:val="24"/>
        </w:rPr>
        <w:t>C – Per unit weighted average cost of power purchase by Licensee, including meeting Renewable Purchase Obligation</w:t>
      </w:r>
    </w:p>
    <w:p w:rsidR="000011E9" w:rsidRPr="00014438" w:rsidRDefault="0058769F">
      <w:pPr>
        <w:pStyle w:val="BodyText"/>
        <w:spacing w:before="116" w:line="360" w:lineRule="auto"/>
        <w:ind w:left="1238" w:right="296"/>
        <w:rPr>
          <w:rFonts w:asciiTheme="minorHAnsi" w:hAnsiTheme="minorHAnsi" w:cstheme="minorHAnsi"/>
          <w:w w:val="105"/>
          <w:sz w:val="24"/>
          <w:szCs w:val="24"/>
        </w:rPr>
      </w:pPr>
      <w:r w:rsidRPr="00014438">
        <w:rPr>
          <w:rFonts w:asciiTheme="minorHAnsi" w:hAnsiTheme="minorHAnsi" w:cstheme="minorHAnsi"/>
          <w:w w:val="105"/>
          <w:sz w:val="24"/>
          <w:szCs w:val="24"/>
        </w:rPr>
        <w:t>L – Aggregate of transmission, distribution and commercial losses, expressed as a percentage applicable to the relevant voltage level</w:t>
      </w:r>
    </w:p>
    <w:p w:rsidR="000011E9" w:rsidRDefault="0058769F">
      <w:pPr>
        <w:pStyle w:val="BodyText"/>
        <w:spacing w:before="119" w:line="360" w:lineRule="auto"/>
        <w:ind w:left="1238" w:right="244"/>
        <w:rPr>
          <w:rFonts w:asciiTheme="minorHAnsi" w:hAnsiTheme="minorHAnsi" w:cstheme="minorHAnsi"/>
          <w:w w:val="105"/>
          <w:sz w:val="24"/>
          <w:szCs w:val="24"/>
        </w:rPr>
      </w:pPr>
      <w:r w:rsidRPr="00014438">
        <w:rPr>
          <w:rFonts w:asciiTheme="minorHAnsi" w:hAnsiTheme="minorHAnsi" w:cstheme="minorHAnsi"/>
          <w:w w:val="105"/>
          <w:sz w:val="24"/>
          <w:szCs w:val="24"/>
        </w:rPr>
        <w:t>D -Aggregate of transmission, distribution and wheeling charge applicable to the relevant voltage level</w:t>
      </w:r>
      <w:r w:rsidR="00014438">
        <w:rPr>
          <w:rFonts w:asciiTheme="minorHAnsi" w:hAnsiTheme="minorHAnsi" w:cstheme="minorHAnsi"/>
          <w:w w:val="105"/>
          <w:sz w:val="24"/>
          <w:szCs w:val="24"/>
        </w:rPr>
        <w:t>.</w:t>
      </w:r>
    </w:p>
    <w:p w:rsidR="00014438" w:rsidRPr="00014438" w:rsidRDefault="00014438">
      <w:pPr>
        <w:pStyle w:val="BodyText"/>
        <w:spacing w:before="119" w:line="360" w:lineRule="auto"/>
        <w:ind w:left="1238" w:right="244"/>
        <w:rPr>
          <w:rFonts w:asciiTheme="minorHAnsi" w:hAnsiTheme="minorHAnsi" w:cstheme="minorHAnsi"/>
          <w:w w:val="105"/>
          <w:sz w:val="24"/>
          <w:szCs w:val="24"/>
        </w:rPr>
      </w:pPr>
    </w:p>
    <w:p w:rsidR="000011E9" w:rsidRPr="00014438" w:rsidRDefault="0058769F">
      <w:pPr>
        <w:pStyle w:val="BodyText"/>
        <w:spacing w:before="122"/>
        <w:ind w:left="1238"/>
        <w:rPr>
          <w:rFonts w:asciiTheme="minorHAnsi" w:hAnsiTheme="minorHAnsi" w:cstheme="minorHAnsi"/>
          <w:w w:val="105"/>
          <w:sz w:val="24"/>
          <w:szCs w:val="24"/>
        </w:rPr>
      </w:pPr>
      <w:r w:rsidRPr="00014438">
        <w:rPr>
          <w:rFonts w:asciiTheme="minorHAnsi" w:hAnsiTheme="minorHAnsi" w:cstheme="minorHAnsi"/>
          <w:w w:val="105"/>
          <w:sz w:val="24"/>
          <w:szCs w:val="24"/>
        </w:rPr>
        <w:lastRenderedPageBreak/>
        <w:t>R – Per unit cost of carrying regulatory assets.</w:t>
      </w:r>
    </w:p>
    <w:p w:rsidR="000011E9" w:rsidRPr="00014438" w:rsidRDefault="000011E9">
      <w:pPr>
        <w:pStyle w:val="BodyText"/>
        <w:spacing w:before="2"/>
        <w:rPr>
          <w:rFonts w:asciiTheme="minorHAnsi" w:hAnsiTheme="minorHAnsi" w:cstheme="minorHAnsi"/>
          <w:w w:val="105"/>
          <w:sz w:val="24"/>
          <w:szCs w:val="24"/>
        </w:rPr>
      </w:pPr>
    </w:p>
    <w:p w:rsidR="000011E9" w:rsidRPr="00014438" w:rsidRDefault="0058769F">
      <w:pPr>
        <w:pStyle w:val="BodyText"/>
        <w:spacing w:line="360" w:lineRule="auto"/>
        <w:ind w:left="1662" w:right="50"/>
        <w:rPr>
          <w:rFonts w:asciiTheme="minorHAnsi" w:hAnsiTheme="minorHAnsi" w:cstheme="minorHAnsi"/>
          <w:w w:val="105"/>
          <w:sz w:val="24"/>
          <w:szCs w:val="24"/>
        </w:rPr>
      </w:pPr>
      <w:r w:rsidRPr="00014438">
        <w:rPr>
          <w:rFonts w:asciiTheme="minorHAnsi" w:hAnsiTheme="minorHAnsi" w:cstheme="minorHAnsi"/>
          <w:w w:val="105"/>
          <w:sz w:val="24"/>
          <w:szCs w:val="24"/>
        </w:rPr>
        <w:t>Provided that in case the above formula gives negative value of surcharge, the same shall be zero;</w:t>
      </w:r>
    </w:p>
    <w:p w:rsidR="000011E9" w:rsidRPr="00014438" w:rsidRDefault="0058769F" w:rsidP="00014438">
      <w:pPr>
        <w:pStyle w:val="ListParagraph"/>
        <w:numPr>
          <w:ilvl w:val="0"/>
          <w:numId w:val="4"/>
        </w:numPr>
        <w:tabs>
          <w:tab w:val="left" w:pos="1085"/>
        </w:tabs>
        <w:spacing w:before="120" w:line="360" w:lineRule="auto"/>
        <w:ind w:right="666" w:hanging="267"/>
        <w:rPr>
          <w:rFonts w:asciiTheme="minorHAnsi" w:hAnsiTheme="minorHAnsi" w:cstheme="minorHAnsi"/>
          <w:w w:val="105"/>
          <w:sz w:val="24"/>
          <w:szCs w:val="24"/>
        </w:rPr>
      </w:pPr>
      <w:r w:rsidRPr="00014438">
        <w:rPr>
          <w:rFonts w:asciiTheme="minorHAnsi" w:hAnsiTheme="minorHAnsi" w:cstheme="minorHAnsi"/>
          <w:w w:val="105"/>
          <w:sz w:val="24"/>
          <w:szCs w:val="24"/>
        </w:rPr>
        <w:t>The Cross-Subsidy Surcharge shall not exceed 20% of the tariff or Average Billing Rate (ABR) applicable to the category of the consumers seeking Green Energy Open Access:</w:t>
      </w:r>
    </w:p>
    <w:p w:rsidR="000011E9" w:rsidRDefault="0058769F" w:rsidP="00695468">
      <w:pPr>
        <w:pStyle w:val="BodyText"/>
        <w:spacing w:before="119" w:line="362" w:lineRule="auto"/>
        <w:ind w:left="1521" w:right="296"/>
        <w:rPr>
          <w:rFonts w:asciiTheme="minorHAnsi" w:hAnsiTheme="minorHAnsi" w:cstheme="minorHAnsi"/>
          <w:w w:val="105"/>
          <w:sz w:val="24"/>
          <w:szCs w:val="24"/>
        </w:rPr>
      </w:pPr>
      <w:r w:rsidRPr="00014438">
        <w:rPr>
          <w:rFonts w:asciiTheme="minorHAnsi" w:hAnsiTheme="minorHAnsi" w:cstheme="minorHAnsi"/>
          <w:w w:val="105"/>
          <w:sz w:val="24"/>
          <w:szCs w:val="24"/>
        </w:rPr>
        <w:t>Provided that the Commission may fix a lower surcharge in the situation of shortages and load shedding by the distribution licensee;</w:t>
      </w:r>
    </w:p>
    <w:p w:rsidR="00695468" w:rsidRPr="00695468" w:rsidRDefault="00695468" w:rsidP="00695468">
      <w:pPr>
        <w:pStyle w:val="NoSpacing"/>
        <w:rPr>
          <w:w w:val="105"/>
          <w:sz w:val="16"/>
          <w:szCs w:val="16"/>
        </w:rPr>
      </w:pPr>
    </w:p>
    <w:p w:rsidR="000011E9" w:rsidRPr="00014438" w:rsidRDefault="0058769F">
      <w:pPr>
        <w:pStyle w:val="BodyText"/>
        <w:spacing w:before="80" w:line="360" w:lineRule="auto"/>
        <w:ind w:left="1521" w:right="476"/>
        <w:jc w:val="both"/>
        <w:rPr>
          <w:rFonts w:asciiTheme="minorHAnsi" w:hAnsiTheme="minorHAnsi" w:cstheme="minorHAnsi"/>
          <w:w w:val="105"/>
          <w:sz w:val="24"/>
          <w:szCs w:val="24"/>
        </w:rPr>
      </w:pPr>
      <w:r w:rsidRPr="00014438">
        <w:rPr>
          <w:rFonts w:asciiTheme="minorHAnsi" w:hAnsiTheme="minorHAnsi" w:cstheme="minorHAnsi"/>
          <w:w w:val="105"/>
          <w:sz w:val="24"/>
          <w:szCs w:val="24"/>
        </w:rPr>
        <w:t>Provided further that such cross-subsidy surcharge shall not be levied in case distribution access is provided to a person who has been availing green power from the plant established as captive generation plant for his own use;</w:t>
      </w:r>
    </w:p>
    <w:p w:rsidR="000011E9" w:rsidRPr="00014438" w:rsidRDefault="0058769F">
      <w:pPr>
        <w:pStyle w:val="BodyText"/>
        <w:spacing w:before="121" w:line="360" w:lineRule="auto"/>
        <w:ind w:left="1521" w:right="476"/>
        <w:jc w:val="both"/>
        <w:rPr>
          <w:rFonts w:asciiTheme="minorHAnsi" w:hAnsiTheme="minorHAnsi" w:cstheme="minorHAnsi"/>
          <w:w w:val="105"/>
          <w:sz w:val="24"/>
          <w:szCs w:val="24"/>
        </w:rPr>
      </w:pPr>
      <w:r w:rsidRPr="00014438">
        <w:rPr>
          <w:rFonts w:asciiTheme="minorHAnsi" w:hAnsiTheme="minorHAnsi" w:cstheme="minorHAnsi"/>
          <w:w w:val="105"/>
          <w:sz w:val="24"/>
          <w:szCs w:val="24"/>
        </w:rPr>
        <w:t>Provided also that cross subsidy surcharge and additional surcharge shall not be applicable in case power produced from a non-fossil fuel-based Waste-to-Energy plant is supplied to the Open Access Consumer;</w:t>
      </w:r>
    </w:p>
    <w:p w:rsidR="000011E9" w:rsidRPr="00014438" w:rsidRDefault="0058769F">
      <w:pPr>
        <w:pStyle w:val="BodyText"/>
        <w:spacing w:before="121" w:line="276" w:lineRule="auto"/>
        <w:ind w:left="981" w:right="477"/>
        <w:jc w:val="both"/>
        <w:rPr>
          <w:rFonts w:asciiTheme="minorHAnsi" w:hAnsiTheme="minorHAnsi" w:cstheme="minorHAnsi"/>
          <w:w w:val="105"/>
          <w:sz w:val="24"/>
          <w:szCs w:val="24"/>
        </w:rPr>
      </w:pPr>
      <w:r w:rsidRPr="00014438">
        <w:rPr>
          <w:rFonts w:asciiTheme="minorHAnsi" w:hAnsiTheme="minorHAnsi" w:cstheme="minorHAnsi"/>
          <w:w w:val="105"/>
          <w:sz w:val="24"/>
          <w:szCs w:val="24"/>
        </w:rPr>
        <w:t>Provided also that additional surcharge shall not be applicable in case electricity produced from offshore wind projects, which are commissioned upto December, 2025 and supplied to the Open Access Consumer”;</w:t>
      </w:r>
    </w:p>
    <w:p w:rsidR="000011E9" w:rsidRPr="00014438" w:rsidRDefault="000011E9">
      <w:pPr>
        <w:pStyle w:val="BodyText"/>
        <w:rPr>
          <w:rFonts w:asciiTheme="minorHAnsi" w:hAnsiTheme="minorHAnsi" w:cstheme="minorHAnsi"/>
          <w:w w:val="105"/>
          <w:sz w:val="24"/>
          <w:szCs w:val="24"/>
        </w:rPr>
      </w:pPr>
    </w:p>
    <w:p w:rsidR="000011E9" w:rsidRPr="00014438" w:rsidRDefault="0058769F" w:rsidP="00695468">
      <w:pPr>
        <w:pStyle w:val="ListParagraph"/>
        <w:numPr>
          <w:ilvl w:val="0"/>
          <w:numId w:val="4"/>
        </w:numPr>
        <w:tabs>
          <w:tab w:val="left" w:pos="1166"/>
        </w:tabs>
        <w:spacing w:before="200" w:line="360" w:lineRule="auto"/>
        <w:ind w:right="480" w:hanging="267"/>
        <w:rPr>
          <w:rFonts w:asciiTheme="minorHAnsi" w:hAnsiTheme="minorHAnsi" w:cstheme="minorHAnsi"/>
          <w:w w:val="105"/>
          <w:sz w:val="24"/>
          <w:szCs w:val="24"/>
        </w:rPr>
      </w:pPr>
      <w:r w:rsidRPr="00014438">
        <w:rPr>
          <w:rFonts w:asciiTheme="minorHAnsi" w:hAnsiTheme="minorHAnsi" w:cstheme="minorHAnsi"/>
          <w:w w:val="105"/>
          <w:sz w:val="24"/>
          <w:szCs w:val="24"/>
        </w:rPr>
        <w:t>Cross-Subsidy Surcharge for Green Energy Open Access shall be computed in Rs/kWh and shall be charged on the actual energy consumed by the consumer under Green Energy Open Access.</w:t>
      </w:r>
    </w:p>
    <w:p w:rsidR="000011E9" w:rsidRPr="001557CC" w:rsidRDefault="0058769F">
      <w:pPr>
        <w:pStyle w:val="Heading2"/>
        <w:numPr>
          <w:ilvl w:val="0"/>
          <w:numId w:val="7"/>
        </w:numPr>
        <w:tabs>
          <w:tab w:val="left" w:pos="528"/>
        </w:tabs>
        <w:spacing w:before="121"/>
        <w:ind w:left="527" w:hanging="426"/>
        <w:jc w:val="both"/>
        <w:rPr>
          <w:rFonts w:asciiTheme="minorHAnsi" w:hAnsiTheme="minorHAnsi" w:cstheme="minorHAnsi"/>
          <w:w w:val="105"/>
        </w:rPr>
      </w:pPr>
      <w:r w:rsidRPr="001557CC">
        <w:rPr>
          <w:rFonts w:asciiTheme="minorHAnsi" w:hAnsiTheme="minorHAnsi" w:cstheme="minorHAnsi"/>
          <w:w w:val="105"/>
        </w:rPr>
        <w:t>Standby Facility and Charges</w:t>
      </w:r>
    </w:p>
    <w:p w:rsidR="000011E9" w:rsidRPr="00014438" w:rsidRDefault="000011E9">
      <w:pPr>
        <w:pStyle w:val="BodyText"/>
        <w:spacing w:before="3"/>
        <w:rPr>
          <w:rFonts w:asciiTheme="minorHAnsi" w:hAnsiTheme="minorHAnsi" w:cstheme="minorHAnsi"/>
          <w:w w:val="105"/>
          <w:sz w:val="24"/>
          <w:szCs w:val="24"/>
        </w:rPr>
      </w:pPr>
    </w:p>
    <w:p w:rsidR="000011E9" w:rsidRDefault="0058769F">
      <w:pPr>
        <w:pStyle w:val="ListParagraph"/>
        <w:numPr>
          <w:ilvl w:val="0"/>
          <w:numId w:val="3"/>
        </w:numPr>
        <w:tabs>
          <w:tab w:val="left" w:pos="1195"/>
        </w:tabs>
        <w:spacing w:line="360" w:lineRule="auto"/>
        <w:ind w:right="581"/>
        <w:rPr>
          <w:rFonts w:asciiTheme="minorHAnsi" w:hAnsiTheme="minorHAnsi" w:cstheme="minorHAnsi"/>
          <w:w w:val="105"/>
          <w:sz w:val="24"/>
          <w:szCs w:val="24"/>
        </w:rPr>
      </w:pPr>
      <w:r w:rsidRPr="00014438">
        <w:rPr>
          <w:rFonts w:asciiTheme="minorHAnsi" w:hAnsiTheme="minorHAnsi" w:cstheme="minorHAnsi"/>
          <w:w w:val="105"/>
          <w:sz w:val="24"/>
          <w:szCs w:val="24"/>
        </w:rPr>
        <w:t>In case the green energy open access consumer is unable to procure/schedule power from the generating sources with whom they have the agreements to procure power due to outages of generator, transmission systems and the like, standby arrangement shall be provided to Green Energy Open Access consumer by the distribution licensee of the area of its supply.</w:t>
      </w:r>
    </w:p>
    <w:p w:rsidR="001557CC" w:rsidRDefault="001557CC" w:rsidP="001557CC">
      <w:pPr>
        <w:tabs>
          <w:tab w:val="left" w:pos="1195"/>
        </w:tabs>
        <w:spacing w:line="360" w:lineRule="auto"/>
        <w:ind w:right="581"/>
        <w:rPr>
          <w:rFonts w:asciiTheme="minorHAnsi" w:hAnsiTheme="minorHAnsi" w:cstheme="minorHAnsi"/>
          <w:w w:val="105"/>
          <w:sz w:val="24"/>
          <w:szCs w:val="24"/>
        </w:rPr>
      </w:pPr>
    </w:p>
    <w:p w:rsidR="001557CC" w:rsidRPr="001557CC" w:rsidRDefault="001557CC" w:rsidP="001557CC">
      <w:pPr>
        <w:tabs>
          <w:tab w:val="left" w:pos="1195"/>
        </w:tabs>
        <w:spacing w:line="360" w:lineRule="auto"/>
        <w:ind w:right="581"/>
        <w:rPr>
          <w:rFonts w:asciiTheme="minorHAnsi" w:hAnsiTheme="minorHAnsi" w:cstheme="minorHAnsi"/>
          <w:w w:val="105"/>
          <w:sz w:val="24"/>
          <w:szCs w:val="24"/>
        </w:rPr>
      </w:pPr>
    </w:p>
    <w:p w:rsidR="000011E9" w:rsidRPr="00014438" w:rsidRDefault="0058769F">
      <w:pPr>
        <w:pStyle w:val="ListParagraph"/>
        <w:numPr>
          <w:ilvl w:val="0"/>
          <w:numId w:val="3"/>
        </w:numPr>
        <w:tabs>
          <w:tab w:val="left" w:pos="1195"/>
        </w:tabs>
        <w:spacing w:before="121" w:line="360" w:lineRule="auto"/>
        <w:ind w:right="583"/>
        <w:rPr>
          <w:rFonts w:asciiTheme="minorHAnsi" w:hAnsiTheme="minorHAnsi" w:cstheme="minorHAnsi"/>
          <w:w w:val="105"/>
          <w:sz w:val="24"/>
          <w:szCs w:val="24"/>
        </w:rPr>
      </w:pPr>
      <w:r w:rsidRPr="00014438">
        <w:rPr>
          <w:rFonts w:asciiTheme="minorHAnsi" w:hAnsiTheme="minorHAnsi" w:cstheme="minorHAnsi"/>
          <w:w w:val="105"/>
          <w:sz w:val="24"/>
          <w:szCs w:val="24"/>
        </w:rPr>
        <w:lastRenderedPageBreak/>
        <w:t>The Standby Charges for Green Energy Open Access for such standby arrangement shall be 125% of normal tariff of the consumer category:</w:t>
      </w:r>
    </w:p>
    <w:p w:rsidR="000011E9" w:rsidRPr="00014438" w:rsidRDefault="0058769F">
      <w:pPr>
        <w:pStyle w:val="BodyText"/>
        <w:spacing w:before="119" w:line="360" w:lineRule="auto"/>
        <w:ind w:left="1401" w:right="583"/>
        <w:jc w:val="both"/>
        <w:rPr>
          <w:rFonts w:asciiTheme="minorHAnsi" w:hAnsiTheme="minorHAnsi" w:cstheme="minorHAnsi"/>
          <w:w w:val="105"/>
          <w:sz w:val="24"/>
          <w:szCs w:val="24"/>
        </w:rPr>
      </w:pPr>
      <w:r w:rsidRPr="00014438">
        <w:rPr>
          <w:rFonts w:asciiTheme="minorHAnsi" w:hAnsiTheme="minorHAnsi" w:cstheme="minorHAnsi"/>
          <w:w w:val="105"/>
          <w:sz w:val="24"/>
          <w:szCs w:val="24"/>
        </w:rPr>
        <w:t xml:space="preserve">Provided that such Standby Charges shall not be applicable if the Green Energy Open Access Consumers have given notice, </w:t>
      </w:r>
      <w:proofErr w:type="spellStart"/>
      <w:r w:rsidRPr="00014438">
        <w:rPr>
          <w:rFonts w:asciiTheme="minorHAnsi" w:hAnsiTheme="minorHAnsi" w:cstheme="minorHAnsi"/>
          <w:w w:val="105"/>
          <w:sz w:val="24"/>
          <w:szCs w:val="24"/>
        </w:rPr>
        <w:t>atleast</w:t>
      </w:r>
      <w:proofErr w:type="spellEnd"/>
      <w:r w:rsidRPr="00014438">
        <w:rPr>
          <w:rFonts w:asciiTheme="minorHAnsi" w:hAnsiTheme="minorHAnsi" w:cstheme="minorHAnsi"/>
          <w:w w:val="105"/>
          <w:sz w:val="24"/>
          <w:szCs w:val="24"/>
        </w:rPr>
        <w:t xml:space="preserve"> a day in advance before gate closure in DAM on ‘D-1’ day, ‘D’ being the day of delivery of power, for standby arrangement to the distribution licensee.</w:t>
      </w:r>
    </w:p>
    <w:p w:rsidR="000011E9" w:rsidRPr="00014438" w:rsidRDefault="0058769F" w:rsidP="001557CC">
      <w:pPr>
        <w:pStyle w:val="ListParagraph"/>
        <w:numPr>
          <w:ilvl w:val="0"/>
          <w:numId w:val="3"/>
        </w:numPr>
        <w:tabs>
          <w:tab w:val="left" w:pos="1075"/>
        </w:tabs>
        <w:spacing w:before="121" w:line="360" w:lineRule="auto"/>
        <w:ind w:left="1134" w:right="582" w:hanging="283"/>
        <w:rPr>
          <w:rFonts w:asciiTheme="minorHAnsi" w:hAnsiTheme="minorHAnsi" w:cstheme="minorHAnsi"/>
          <w:w w:val="105"/>
          <w:sz w:val="24"/>
          <w:szCs w:val="24"/>
        </w:rPr>
      </w:pPr>
      <w:r w:rsidRPr="00014438">
        <w:rPr>
          <w:rFonts w:asciiTheme="minorHAnsi" w:hAnsiTheme="minorHAnsi" w:cstheme="minorHAnsi"/>
          <w:w w:val="105"/>
          <w:sz w:val="24"/>
          <w:szCs w:val="24"/>
        </w:rPr>
        <w:t>The Standby Charges for Green Energy Open Access shall be computed in Rs/kWh and it shall be charged on the actual energy drawn by the consumer from distribution licensee during the period of standby availed by Green Energy Open Access consumer in case of outage of RE generator under Green Energy Open Access.</w:t>
      </w:r>
    </w:p>
    <w:p w:rsidR="000011E9" w:rsidRPr="00014438" w:rsidRDefault="000011E9">
      <w:pPr>
        <w:pStyle w:val="BodyText"/>
        <w:spacing w:before="11"/>
        <w:rPr>
          <w:rFonts w:asciiTheme="minorHAnsi" w:hAnsiTheme="minorHAnsi" w:cstheme="minorHAnsi"/>
          <w:w w:val="105"/>
          <w:sz w:val="24"/>
          <w:szCs w:val="24"/>
        </w:rPr>
      </w:pPr>
    </w:p>
    <w:p w:rsidR="000011E9" w:rsidRPr="001557CC" w:rsidRDefault="0058769F">
      <w:pPr>
        <w:pStyle w:val="Heading2"/>
        <w:numPr>
          <w:ilvl w:val="0"/>
          <w:numId w:val="7"/>
        </w:numPr>
        <w:tabs>
          <w:tab w:val="left" w:pos="528"/>
        </w:tabs>
        <w:spacing w:before="80"/>
        <w:ind w:left="527" w:hanging="426"/>
        <w:jc w:val="left"/>
        <w:rPr>
          <w:rFonts w:asciiTheme="minorHAnsi" w:hAnsiTheme="minorHAnsi" w:cstheme="minorHAnsi"/>
          <w:w w:val="105"/>
        </w:rPr>
      </w:pPr>
      <w:r w:rsidRPr="001557CC">
        <w:rPr>
          <w:rFonts w:asciiTheme="minorHAnsi" w:hAnsiTheme="minorHAnsi" w:cstheme="minorHAnsi"/>
          <w:w w:val="105"/>
        </w:rPr>
        <w:t>Banking Facility and Charges</w:t>
      </w:r>
    </w:p>
    <w:p w:rsidR="000011E9" w:rsidRPr="00014438" w:rsidRDefault="000011E9">
      <w:pPr>
        <w:pStyle w:val="BodyText"/>
        <w:spacing w:before="3"/>
        <w:rPr>
          <w:rFonts w:asciiTheme="minorHAnsi" w:hAnsiTheme="minorHAnsi" w:cstheme="minorHAnsi"/>
          <w:w w:val="105"/>
          <w:sz w:val="24"/>
          <w:szCs w:val="24"/>
        </w:rPr>
      </w:pPr>
    </w:p>
    <w:p w:rsidR="000011E9" w:rsidRPr="00014438" w:rsidRDefault="0058769F">
      <w:pPr>
        <w:pStyle w:val="ListParagraph"/>
        <w:numPr>
          <w:ilvl w:val="0"/>
          <w:numId w:val="2"/>
        </w:numPr>
        <w:tabs>
          <w:tab w:val="left" w:pos="1174"/>
        </w:tabs>
        <w:spacing w:line="360" w:lineRule="auto"/>
        <w:ind w:right="582"/>
        <w:rPr>
          <w:rFonts w:asciiTheme="minorHAnsi" w:hAnsiTheme="minorHAnsi" w:cstheme="minorHAnsi"/>
          <w:w w:val="105"/>
          <w:sz w:val="24"/>
          <w:szCs w:val="24"/>
        </w:rPr>
      </w:pPr>
      <w:r w:rsidRPr="00014438">
        <w:rPr>
          <w:rFonts w:asciiTheme="minorHAnsi" w:hAnsiTheme="minorHAnsi" w:cstheme="minorHAnsi"/>
          <w:w w:val="105"/>
          <w:sz w:val="24"/>
          <w:szCs w:val="24"/>
        </w:rPr>
        <w:t>Banking facility shall be provided to the consumers availing Green Energy Open Access. The surplus energy from a ‘Green Energy’ Generating Station after setoff shall be banked with the Distribution Licensee.</w:t>
      </w:r>
    </w:p>
    <w:p w:rsidR="000011E9" w:rsidRPr="00014438" w:rsidRDefault="0058769F">
      <w:pPr>
        <w:pStyle w:val="ListParagraph"/>
        <w:numPr>
          <w:ilvl w:val="0"/>
          <w:numId w:val="2"/>
        </w:numPr>
        <w:tabs>
          <w:tab w:val="left" w:pos="1174"/>
        </w:tabs>
        <w:spacing w:before="119" w:line="362" w:lineRule="auto"/>
        <w:ind w:right="586"/>
        <w:rPr>
          <w:rFonts w:asciiTheme="minorHAnsi" w:hAnsiTheme="minorHAnsi" w:cstheme="minorHAnsi"/>
          <w:w w:val="105"/>
          <w:sz w:val="24"/>
          <w:szCs w:val="24"/>
        </w:rPr>
      </w:pPr>
      <w:r w:rsidRPr="00014438">
        <w:rPr>
          <w:rFonts w:asciiTheme="minorHAnsi" w:hAnsiTheme="minorHAnsi" w:cstheme="minorHAnsi"/>
          <w:w w:val="105"/>
          <w:sz w:val="24"/>
          <w:szCs w:val="24"/>
        </w:rPr>
        <w:t xml:space="preserve">The banking facility including injection of surplus energy and </w:t>
      </w:r>
      <w:proofErr w:type="spellStart"/>
      <w:r w:rsidRPr="00014438">
        <w:rPr>
          <w:rFonts w:asciiTheme="minorHAnsi" w:hAnsiTheme="minorHAnsi" w:cstheme="minorHAnsi"/>
          <w:w w:val="105"/>
          <w:sz w:val="24"/>
          <w:szCs w:val="24"/>
        </w:rPr>
        <w:t>drawal</w:t>
      </w:r>
      <w:proofErr w:type="spellEnd"/>
      <w:r w:rsidRPr="00014438">
        <w:rPr>
          <w:rFonts w:asciiTheme="minorHAnsi" w:hAnsiTheme="minorHAnsi" w:cstheme="minorHAnsi"/>
          <w:w w:val="105"/>
          <w:sz w:val="24"/>
          <w:szCs w:val="24"/>
        </w:rPr>
        <w:t xml:space="preserve"> of banked energy shall be subject to scheduling.</w:t>
      </w:r>
    </w:p>
    <w:p w:rsidR="000011E9" w:rsidRPr="00014438" w:rsidRDefault="0058769F">
      <w:pPr>
        <w:pStyle w:val="ListParagraph"/>
        <w:numPr>
          <w:ilvl w:val="0"/>
          <w:numId w:val="2"/>
        </w:numPr>
        <w:tabs>
          <w:tab w:val="left" w:pos="1174"/>
        </w:tabs>
        <w:spacing w:before="116"/>
        <w:ind w:hanging="361"/>
        <w:rPr>
          <w:rFonts w:asciiTheme="minorHAnsi" w:hAnsiTheme="minorHAnsi" w:cstheme="minorHAnsi"/>
          <w:w w:val="105"/>
          <w:sz w:val="24"/>
          <w:szCs w:val="24"/>
        </w:rPr>
      </w:pPr>
      <w:r w:rsidRPr="00014438">
        <w:rPr>
          <w:rFonts w:asciiTheme="minorHAnsi" w:hAnsiTheme="minorHAnsi" w:cstheme="minorHAnsi"/>
          <w:w w:val="105"/>
          <w:sz w:val="24"/>
          <w:szCs w:val="24"/>
        </w:rPr>
        <w:t>The Banking Charges shall be adjusted in kind @ 8% of the energy banked.</w:t>
      </w:r>
    </w:p>
    <w:p w:rsidR="000011E9" w:rsidRPr="00014438" w:rsidRDefault="000011E9">
      <w:pPr>
        <w:pStyle w:val="BodyText"/>
        <w:spacing w:before="3"/>
        <w:rPr>
          <w:rFonts w:asciiTheme="minorHAnsi" w:hAnsiTheme="minorHAnsi" w:cstheme="minorHAnsi"/>
          <w:w w:val="105"/>
          <w:sz w:val="24"/>
          <w:szCs w:val="24"/>
        </w:rPr>
      </w:pPr>
    </w:p>
    <w:p w:rsidR="000011E9" w:rsidRPr="00014438" w:rsidRDefault="0058769F">
      <w:pPr>
        <w:pStyle w:val="ListParagraph"/>
        <w:numPr>
          <w:ilvl w:val="0"/>
          <w:numId w:val="2"/>
        </w:numPr>
        <w:tabs>
          <w:tab w:val="left" w:pos="1094"/>
        </w:tabs>
        <w:ind w:left="1094" w:hanging="281"/>
        <w:rPr>
          <w:rFonts w:asciiTheme="minorHAnsi" w:hAnsiTheme="minorHAnsi" w:cstheme="minorHAnsi"/>
          <w:w w:val="105"/>
          <w:sz w:val="24"/>
          <w:szCs w:val="24"/>
        </w:rPr>
      </w:pPr>
      <w:r w:rsidRPr="00014438">
        <w:rPr>
          <w:rFonts w:asciiTheme="minorHAnsi" w:hAnsiTheme="minorHAnsi" w:cstheme="minorHAnsi"/>
          <w:w w:val="105"/>
          <w:sz w:val="24"/>
          <w:szCs w:val="24"/>
        </w:rPr>
        <w:t>The Banking of energy shall be permitted at least on a monthly basis</w:t>
      </w:r>
    </w:p>
    <w:p w:rsidR="000011E9" w:rsidRPr="00014438" w:rsidRDefault="000011E9">
      <w:pPr>
        <w:pStyle w:val="BodyText"/>
        <w:spacing w:before="2"/>
        <w:rPr>
          <w:rFonts w:asciiTheme="minorHAnsi" w:hAnsiTheme="minorHAnsi" w:cstheme="minorHAnsi"/>
          <w:w w:val="105"/>
          <w:sz w:val="24"/>
          <w:szCs w:val="24"/>
        </w:rPr>
      </w:pPr>
    </w:p>
    <w:p w:rsidR="000011E9" w:rsidRPr="00014438" w:rsidRDefault="0058769F">
      <w:pPr>
        <w:pStyle w:val="BodyText"/>
        <w:spacing w:line="360" w:lineRule="auto"/>
        <w:ind w:left="1238" w:right="480"/>
        <w:jc w:val="both"/>
        <w:rPr>
          <w:rFonts w:asciiTheme="minorHAnsi" w:hAnsiTheme="minorHAnsi" w:cstheme="minorHAnsi"/>
          <w:w w:val="105"/>
          <w:sz w:val="24"/>
          <w:szCs w:val="24"/>
        </w:rPr>
      </w:pPr>
      <w:r w:rsidRPr="00014438">
        <w:rPr>
          <w:rFonts w:asciiTheme="minorHAnsi" w:hAnsiTheme="minorHAnsi" w:cstheme="minorHAnsi"/>
          <w:w w:val="105"/>
          <w:sz w:val="24"/>
          <w:szCs w:val="24"/>
        </w:rPr>
        <w:t>Provided that the credit for banked energy shall not be permitted to be carried forward to subsequent banking cycles and the credit for energy banked shall be adjusted during the same banking cycles as per the energy injected in the respective Time of Day (‘TOD’) slots determined by the Commission in its Orders determining the tariff of the Distribution Licensee;</w:t>
      </w:r>
    </w:p>
    <w:p w:rsidR="00D97EFF" w:rsidRDefault="0058769F">
      <w:pPr>
        <w:pStyle w:val="BodyText"/>
        <w:spacing w:before="120" w:line="360" w:lineRule="auto"/>
        <w:ind w:left="1238" w:right="475"/>
        <w:jc w:val="both"/>
        <w:rPr>
          <w:rFonts w:asciiTheme="minorHAnsi" w:hAnsiTheme="minorHAnsi" w:cstheme="minorHAnsi"/>
          <w:w w:val="105"/>
          <w:sz w:val="24"/>
          <w:szCs w:val="24"/>
        </w:rPr>
      </w:pPr>
      <w:r w:rsidRPr="00014438">
        <w:rPr>
          <w:rFonts w:asciiTheme="minorHAnsi" w:hAnsiTheme="minorHAnsi" w:cstheme="minorHAnsi"/>
          <w:w w:val="105"/>
          <w:sz w:val="24"/>
          <w:szCs w:val="24"/>
        </w:rPr>
        <w:t>Provided further that, the energy banked during peak TOD slots shall be permitted to draw during peak as well as off-peak TOD slot. However, the energy banked during off-peak TOD slots shall be permitted to draw during off-peak</w:t>
      </w:r>
    </w:p>
    <w:p w:rsidR="00D97EFF" w:rsidRDefault="00D97EFF">
      <w:pPr>
        <w:pStyle w:val="BodyText"/>
        <w:spacing w:before="120" w:line="360" w:lineRule="auto"/>
        <w:ind w:left="1238" w:right="475"/>
        <w:jc w:val="both"/>
        <w:rPr>
          <w:rFonts w:asciiTheme="minorHAnsi" w:hAnsiTheme="minorHAnsi" w:cstheme="minorHAnsi"/>
          <w:w w:val="105"/>
          <w:sz w:val="24"/>
          <w:szCs w:val="24"/>
        </w:rPr>
      </w:pPr>
    </w:p>
    <w:p w:rsidR="000011E9" w:rsidRPr="00014438" w:rsidRDefault="0058769F">
      <w:pPr>
        <w:pStyle w:val="BodyText"/>
        <w:spacing w:before="120" w:line="360" w:lineRule="auto"/>
        <w:ind w:left="1238" w:right="475"/>
        <w:jc w:val="both"/>
        <w:rPr>
          <w:rFonts w:asciiTheme="minorHAnsi" w:hAnsiTheme="minorHAnsi" w:cstheme="minorHAnsi"/>
          <w:w w:val="105"/>
          <w:sz w:val="24"/>
          <w:szCs w:val="24"/>
        </w:rPr>
      </w:pPr>
      <w:r w:rsidRPr="00014438">
        <w:rPr>
          <w:rFonts w:asciiTheme="minorHAnsi" w:hAnsiTheme="minorHAnsi" w:cstheme="minorHAnsi"/>
          <w:w w:val="105"/>
          <w:sz w:val="24"/>
          <w:szCs w:val="24"/>
        </w:rPr>
        <w:t>TOD slot by only paying the banking charges and from off peak TOD slot to peak TOD slot by paying additional charges as may be specified by Appropriate Commission in addition to the banking charges</w:t>
      </w:r>
    </w:p>
    <w:p w:rsidR="000011E9" w:rsidRPr="00014438" w:rsidRDefault="0058769F">
      <w:pPr>
        <w:pStyle w:val="ListParagraph"/>
        <w:numPr>
          <w:ilvl w:val="0"/>
          <w:numId w:val="2"/>
        </w:numPr>
        <w:tabs>
          <w:tab w:val="left" w:pos="1058"/>
        </w:tabs>
        <w:spacing w:before="120"/>
        <w:ind w:left="1058" w:hanging="245"/>
        <w:rPr>
          <w:rFonts w:asciiTheme="minorHAnsi" w:hAnsiTheme="minorHAnsi" w:cstheme="minorHAnsi"/>
          <w:w w:val="105"/>
          <w:sz w:val="24"/>
          <w:szCs w:val="24"/>
        </w:rPr>
      </w:pPr>
      <w:r w:rsidRPr="00014438">
        <w:rPr>
          <w:rFonts w:asciiTheme="minorHAnsi" w:hAnsiTheme="minorHAnsi" w:cstheme="minorHAnsi"/>
          <w:w w:val="105"/>
          <w:sz w:val="24"/>
          <w:szCs w:val="24"/>
        </w:rPr>
        <w:t>The un-</w:t>
      </w:r>
      <w:proofErr w:type="spellStart"/>
      <w:r w:rsidRPr="00014438">
        <w:rPr>
          <w:rFonts w:asciiTheme="minorHAnsi" w:hAnsiTheme="minorHAnsi" w:cstheme="minorHAnsi"/>
          <w:w w:val="105"/>
          <w:sz w:val="24"/>
          <w:szCs w:val="24"/>
        </w:rPr>
        <w:t>utilised</w:t>
      </w:r>
      <w:proofErr w:type="spellEnd"/>
      <w:r w:rsidRPr="00014438">
        <w:rPr>
          <w:rFonts w:asciiTheme="minorHAnsi" w:hAnsiTheme="minorHAnsi" w:cstheme="minorHAnsi"/>
          <w:w w:val="105"/>
          <w:sz w:val="24"/>
          <w:szCs w:val="24"/>
        </w:rPr>
        <w:t xml:space="preserve"> surplus banked energy, shall be considered as lapsed at the end of each</w:t>
      </w:r>
    </w:p>
    <w:p w:rsidR="000011E9" w:rsidRPr="00014438" w:rsidRDefault="0058769F">
      <w:pPr>
        <w:pStyle w:val="Heading3"/>
        <w:ind w:firstLine="0"/>
        <w:rPr>
          <w:rFonts w:asciiTheme="minorHAnsi" w:eastAsia="Cambria" w:hAnsiTheme="minorHAnsi" w:cstheme="minorHAnsi"/>
          <w:w w:val="105"/>
        </w:rPr>
      </w:pPr>
      <w:proofErr w:type="gramStart"/>
      <w:r w:rsidRPr="00014438">
        <w:rPr>
          <w:rFonts w:asciiTheme="minorHAnsi" w:eastAsia="Cambria" w:hAnsiTheme="minorHAnsi" w:cstheme="minorHAnsi"/>
          <w:w w:val="105"/>
        </w:rPr>
        <w:t>banking</w:t>
      </w:r>
      <w:proofErr w:type="gramEnd"/>
      <w:r w:rsidRPr="00014438">
        <w:rPr>
          <w:rFonts w:asciiTheme="minorHAnsi" w:eastAsia="Cambria" w:hAnsiTheme="minorHAnsi" w:cstheme="minorHAnsi"/>
          <w:w w:val="105"/>
        </w:rPr>
        <w:t xml:space="preserve"> cycles:</w:t>
      </w:r>
    </w:p>
    <w:p w:rsidR="000011E9" w:rsidRPr="00014438" w:rsidRDefault="000011E9">
      <w:pPr>
        <w:pStyle w:val="BodyText"/>
        <w:spacing w:before="4"/>
        <w:rPr>
          <w:rFonts w:asciiTheme="minorHAnsi" w:hAnsiTheme="minorHAnsi" w:cstheme="minorHAnsi"/>
          <w:w w:val="105"/>
          <w:sz w:val="24"/>
          <w:szCs w:val="24"/>
        </w:rPr>
      </w:pPr>
    </w:p>
    <w:p w:rsidR="000011E9" w:rsidRPr="00014438" w:rsidRDefault="0058769F">
      <w:pPr>
        <w:pStyle w:val="BodyText"/>
        <w:spacing w:before="1" w:line="360" w:lineRule="auto"/>
        <w:ind w:left="1379" w:right="296"/>
        <w:rPr>
          <w:rFonts w:asciiTheme="minorHAnsi" w:hAnsiTheme="minorHAnsi" w:cstheme="minorHAnsi"/>
          <w:w w:val="105"/>
          <w:sz w:val="24"/>
          <w:szCs w:val="24"/>
        </w:rPr>
      </w:pPr>
      <w:r w:rsidRPr="00014438">
        <w:rPr>
          <w:rFonts w:asciiTheme="minorHAnsi" w:hAnsiTheme="minorHAnsi" w:cstheme="minorHAnsi"/>
          <w:w w:val="105"/>
          <w:sz w:val="24"/>
          <w:szCs w:val="24"/>
        </w:rPr>
        <w:t>Provided that, the RE Generating Station would be entitled to Renewable Energy Certificates to that extent.</w:t>
      </w:r>
    </w:p>
    <w:p w:rsidR="000011E9" w:rsidRPr="00014438" w:rsidRDefault="000011E9">
      <w:pPr>
        <w:pStyle w:val="BodyText"/>
        <w:rPr>
          <w:rFonts w:asciiTheme="minorHAnsi" w:hAnsiTheme="minorHAnsi" w:cstheme="minorHAnsi"/>
          <w:w w:val="105"/>
          <w:sz w:val="24"/>
          <w:szCs w:val="24"/>
        </w:rPr>
      </w:pPr>
    </w:p>
    <w:p w:rsidR="000011E9" w:rsidRPr="00222EA3" w:rsidRDefault="0058769F">
      <w:pPr>
        <w:pStyle w:val="Heading2"/>
        <w:numPr>
          <w:ilvl w:val="0"/>
          <w:numId w:val="7"/>
        </w:numPr>
        <w:tabs>
          <w:tab w:val="left" w:pos="700"/>
          <w:tab w:val="left" w:pos="701"/>
        </w:tabs>
        <w:ind w:left="700" w:hanging="599"/>
        <w:jc w:val="left"/>
        <w:rPr>
          <w:rFonts w:asciiTheme="minorHAnsi" w:hAnsiTheme="minorHAnsi" w:cstheme="minorHAnsi"/>
          <w:w w:val="105"/>
        </w:rPr>
      </w:pPr>
      <w:r w:rsidRPr="00222EA3">
        <w:rPr>
          <w:rFonts w:asciiTheme="minorHAnsi" w:hAnsiTheme="minorHAnsi" w:cstheme="minorHAnsi"/>
          <w:w w:val="105"/>
        </w:rPr>
        <w:t>Other Charges</w:t>
      </w:r>
    </w:p>
    <w:p w:rsidR="000011E9" w:rsidRPr="00014438" w:rsidRDefault="000011E9">
      <w:pPr>
        <w:pStyle w:val="BodyText"/>
        <w:spacing w:before="6"/>
        <w:rPr>
          <w:rFonts w:asciiTheme="minorHAnsi" w:hAnsiTheme="minorHAnsi" w:cstheme="minorHAnsi"/>
          <w:w w:val="105"/>
          <w:sz w:val="24"/>
          <w:szCs w:val="24"/>
        </w:rPr>
      </w:pPr>
    </w:p>
    <w:p w:rsidR="000011E9" w:rsidRPr="00014438" w:rsidRDefault="0058769F" w:rsidP="00222EA3">
      <w:pPr>
        <w:pStyle w:val="BodyText"/>
        <w:spacing w:line="360" w:lineRule="auto"/>
        <w:ind w:left="813" w:right="307"/>
        <w:rPr>
          <w:rFonts w:asciiTheme="minorHAnsi" w:hAnsiTheme="minorHAnsi" w:cstheme="minorHAnsi"/>
          <w:w w:val="105"/>
          <w:sz w:val="24"/>
          <w:szCs w:val="24"/>
        </w:rPr>
      </w:pPr>
      <w:r w:rsidRPr="00014438">
        <w:rPr>
          <w:rFonts w:asciiTheme="minorHAnsi" w:hAnsiTheme="minorHAnsi" w:cstheme="minorHAnsi"/>
          <w:w w:val="105"/>
          <w:sz w:val="24"/>
          <w:szCs w:val="24"/>
        </w:rPr>
        <w:t>In addition to above charges, the consumer availing Green Energy Open Access shall also pay the following charges determined by the Commission as per the provisions of the</w:t>
      </w:r>
      <w:r w:rsidR="00222EA3">
        <w:rPr>
          <w:rFonts w:asciiTheme="minorHAnsi" w:hAnsiTheme="minorHAnsi" w:cstheme="minorHAnsi"/>
          <w:w w:val="105"/>
          <w:sz w:val="24"/>
          <w:szCs w:val="24"/>
        </w:rPr>
        <w:t xml:space="preserve"> </w:t>
      </w:r>
      <w:r w:rsidRPr="00014438">
        <w:rPr>
          <w:rFonts w:asciiTheme="minorHAnsi" w:hAnsiTheme="minorHAnsi" w:cstheme="minorHAnsi"/>
          <w:w w:val="105"/>
          <w:sz w:val="24"/>
          <w:szCs w:val="24"/>
        </w:rPr>
        <w:t>relevant regulations of the Commission:</w:t>
      </w:r>
    </w:p>
    <w:p w:rsidR="000011E9" w:rsidRPr="00014438" w:rsidRDefault="000011E9">
      <w:pPr>
        <w:pStyle w:val="BodyText"/>
        <w:spacing w:before="2"/>
        <w:rPr>
          <w:rFonts w:asciiTheme="minorHAnsi" w:hAnsiTheme="minorHAnsi" w:cstheme="minorHAnsi"/>
          <w:w w:val="105"/>
          <w:sz w:val="24"/>
          <w:szCs w:val="24"/>
        </w:rPr>
      </w:pPr>
    </w:p>
    <w:p w:rsidR="000011E9" w:rsidRPr="00ED4ADE" w:rsidRDefault="0058769F">
      <w:pPr>
        <w:pStyle w:val="ListParagraph"/>
        <w:numPr>
          <w:ilvl w:val="0"/>
          <w:numId w:val="1"/>
        </w:numPr>
        <w:tabs>
          <w:tab w:val="left" w:pos="2516"/>
        </w:tabs>
        <w:ind w:hanging="241"/>
        <w:rPr>
          <w:rFonts w:asciiTheme="minorHAnsi" w:hAnsiTheme="minorHAnsi" w:cstheme="minorHAnsi"/>
          <w:w w:val="105"/>
          <w:sz w:val="24"/>
          <w:szCs w:val="24"/>
        </w:rPr>
      </w:pPr>
      <w:r w:rsidRPr="00ED4ADE">
        <w:rPr>
          <w:rFonts w:asciiTheme="minorHAnsi" w:hAnsiTheme="minorHAnsi" w:cstheme="minorHAnsi"/>
          <w:w w:val="105"/>
          <w:sz w:val="24"/>
          <w:szCs w:val="24"/>
        </w:rPr>
        <w:t>Applicable SLDC fees and charges</w:t>
      </w:r>
    </w:p>
    <w:p w:rsidR="000011E9" w:rsidRPr="00ED4ADE" w:rsidRDefault="000011E9">
      <w:pPr>
        <w:pStyle w:val="BodyText"/>
        <w:spacing w:before="2"/>
        <w:rPr>
          <w:rFonts w:asciiTheme="minorHAnsi" w:hAnsiTheme="minorHAnsi" w:cstheme="minorHAnsi"/>
          <w:w w:val="105"/>
          <w:sz w:val="24"/>
          <w:szCs w:val="24"/>
        </w:rPr>
      </w:pPr>
    </w:p>
    <w:p w:rsidR="000011E9" w:rsidRPr="00ED4ADE" w:rsidRDefault="0058769F">
      <w:pPr>
        <w:pStyle w:val="ListParagraph"/>
        <w:numPr>
          <w:ilvl w:val="0"/>
          <w:numId w:val="1"/>
        </w:numPr>
        <w:tabs>
          <w:tab w:val="left" w:pos="2528"/>
        </w:tabs>
        <w:ind w:left="2527" w:hanging="253"/>
        <w:rPr>
          <w:rFonts w:asciiTheme="minorHAnsi" w:hAnsiTheme="minorHAnsi" w:cstheme="minorHAnsi"/>
          <w:w w:val="105"/>
          <w:sz w:val="24"/>
          <w:szCs w:val="24"/>
        </w:rPr>
      </w:pPr>
      <w:r w:rsidRPr="00ED4ADE">
        <w:rPr>
          <w:rFonts w:asciiTheme="minorHAnsi" w:hAnsiTheme="minorHAnsi" w:cstheme="minorHAnsi"/>
          <w:w w:val="105"/>
          <w:sz w:val="24"/>
          <w:szCs w:val="24"/>
        </w:rPr>
        <w:t>Scheduling charges</w:t>
      </w:r>
    </w:p>
    <w:p w:rsidR="000011E9" w:rsidRPr="00ED4ADE" w:rsidRDefault="000011E9">
      <w:pPr>
        <w:pStyle w:val="BodyText"/>
        <w:spacing w:before="5"/>
        <w:rPr>
          <w:rFonts w:asciiTheme="minorHAnsi" w:hAnsiTheme="minorHAnsi" w:cstheme="minorHAnsi"/>
          <w:w w:val="105"/>
          <w:sz w:val="24"/>
          <w:szCs w:val="24"/>
        </w:rPr>
      </w:pPr>
    </w:p>
    <w:p w:rsidR="000011E9" w:rsidRPr="00ED4ADE" w:rsidRDefault="0058769F">
      <w:pPr>
        <w:pStyle w:val="ListParagraph"/>
        <w:numPr>
          <w:ilvl w:val="0"/>
          <w:numId w:val="1"/>
        </w:numPr>
        <w:tabs>
          <w:tab w:val="left" w:pos="2506"/>
        </w:tabs>
        <w:ind w:left="2505" w:hanging="231"/>
        <w:rPr>
          <w:rFonts w:asciiTheme="minorHAnsi" w:hAnsiTheme="minorHAnsi" w:cstheme="minorHAnsi"/>
          <w:w w:val="105"/>
          <w:sz w:val="24"/>
          <w:szCs w:val="24"/>
        </w:rPr>
      </w:pPr>
      <w:r w:rsidRPr="00ED4ADE">
        <w:rPr>
          <w:rFonts w:asciiTheme="minorHAnsi" w:hAnsiTheme="minorHAnsi" w:cstheme="minorHAnsi"/>
          <w:w w:val="105"/>
          <w:sz w:val="24"/>
          <w:szCs w:val="24"/>
        </w:rPr>
        <w:t>RE Deviation Settlement Charges (RE-DSM)</w:t>
      </w:r>
    </w:p>
    <w:p w:rsidR="00F909CB" w:rsidRPr="00F909CB" w:rsidRDefault="00F909CB" w:rsidP="00F909CB">
      <w:pPr>
        <w:pStyle w:val="ListParagraph"/>
        <w:rPr>
          <w:rFonts w:asciiTheme="minorHAnsi" w:hAnsiTheme="minorHAnsi" w:cstheme="minorHAnsi"/>
          <w:w w:val="105"/>
          <w:sz w:val="24"/>
          <w:szCs w:val="24"/>
        </w:rPr>
      </w:pPr>
    </w:p>
    <w:p w:rsidR="00F909CB" w:rsidRDefault="00F909CB" w:rsidP="00F909CB">
      <w:pPr>
        <w:tabs>
          <w:tab w:val="left" w:pos="2506"/>
        </w:tabs>
        <w:rPr>
          <w:rFonts w:asciiTheme="minorHAnsi" w:hAnsiTheme="minorHAnsi" w:cstheme="minorHAnsi"/>
          <w:w w:val="105"/>
          <w:sz w:val="24"/>
          <w:szCs w:val="24"/>
        </w:rPr>
      </w:pPr>
    </w:p>
    <w:p w:rsidR="00F909CB" w:rsidRDefault="00F909CB" w:rsidP="00F909CB">
      <w:pPr>
        <w:tabs>
          <w:tab w:val="left" w:pos="2506"/>
        </w:tabs>
        <w:rPr>
          <w:rFonts w:asciiTheme="minorHAnsi" w:hAnsiTheme="minorHAnsi" w:cstheme="minorHAnsi"/>
          <w:w w:val="105"/>
          <w:sz w:val="24"/>
          <w:szCs w:val="24"/>
        </w:rPr>
      </w:pPr>
    </w:p>
    <w:p w:rsidR="00F909CB" w:rsidRDefault="00F909CB" w:rsidP="00F909CB">
      <w:pPr>
        <w:tabs>
          <w:tab w:val="left" w:pos="2506"/>
        </w:tabs>
        <w:rPr>
          <w:rFonts w:asciiTheme="minorHAnsi" w:hAnsiTheme="minorHAnsi" w:cstheme="minorHAnsi"/>
          <w:w w:val="105"/>
          <w:sz w:val="24"/>
          <w:szCs w:val="24"/>
        </w:rPr>
      </w:pPr>
    </w:p>
    <w:p w:rsidR="00F909CB" w:rsidRDefault="00F909CB" w:rsidP="00F909CB">
      <w:pPr>
        <w:tabs>
          <w:tab w:val="left" w:pos="2506"/>
        </w:tabs>
        <w:rPr>
          <w:rFonts w:asciiTheme="minorHAnsi" w:hAnsiTheme="minorHAnsi" w:cstheme="minorHAnsi"/>
          <w:w w:val="105"/>
          <w:sz w:val="24"/>
          <w:szCs w:val="24"/>
        </w:rPr>
      </w:pPr>
    </w:p>
    <w:p w:rsidR="00F909CB" w:rsidRDefault="00F909CB" w:rsidP="00F909CB">
      <w:pPr>
        <w:tabs>
          <w:tab w:val="left" w:pos="2506"/>
        </w:tabs>
        <w:rPr>
          <w:rFonts w:asciiTheme="minorHAnsi" w:hAnsiTheme="minorHAnsi" w:cstheme="minorHAnsi"/>
          <w:w w:val="105"/>
          <w:sz w:val="24"/>
          <w:szCs w:val="24"/>
        </w:rPr>
      </w:pPr>
    </w:p>
    <w:p w:rsidR="00F909CB" w:rsidRDefault="00F909CB" w:rsidP="00F909CB">
      <w:pPr>
        <w:tabs>
          <w:tab w:val="left" w:pos="2506"/>
        </w:tabs>
        <w:rPr>
          <w:rFonts w:asciiTheme="minorHAnsi" w:hAnsiTheme="minorHAnsi" w:cstheme="minorHAnsi"/>
          <w:w w:val="105"/>
          <w:sz w:val="24"/>
          <w:szCs w:val="24"/>
        </w:rPr>
      </w:pPr>
    </w:p>
    <w:p w:rsidR="00F909CB" w:rsidRDefault="00F909CB" w:rsidP="00F909CB">
      <w:pPr>
        <w:tabs>
          <w:tab w:val="left" w:pos="2506"/>
        </w:tabs>
        <w:rPr>
          <w:rFonts w:asciiTheme="minorHAnsi" w:hAnsiTheme="minorHAnsi" w:cstheme="minorHAnsi"/>
          <w:w w:val="105"/>
          <w:sz w:val="24"/>
          <w:szCs w:val="24"/>
        </w:rPr>
      </w:pPr>
    </w:p>
    <w:p w:rsidR="00F909CB" w:rsidRDefault="00F909CB" w:rsidP="00F909CB">
      <w:pPr>
        <w:tabs>
          <w:tab w:val="left" w:pos="2506"/>
        </w:tabs>
        <w:rPr>
          <w:rFonts w:asciiTheme="minorHAnsi" w:hAnsiTheme="minorHAnsi" w:cstheme="minorHAnsi"/>
          <w:w w:val="105"/>
          <w:sz w:val="24"/>
          <w:szCs w:val="24"/>
        </w:rPr>
      </w:pPr>
    </w:p>
    <w:p w:rsidR="00F909CB" w:rsidRDefault="00F909CB" w:rsidP="00F909CB">
      <w:pPr>
        <w:tabs>
          <w:tab w:val="left" w:pos="2506"/>
        </w:tabs>
        <w:rPr>
          <w:rFonts w:asciiTheme="minorHAnsi" w:hAnsiTheme="minorHAnsi" w:cstheme="minorHAnsi"/>
          <w:w w:val="105"/>
          <w:sz w:val="24"/>
          <w:szCs w:val="24"/>
        </w:rPr>
      </w:pPr>
    </w:p>
    <w:p w:rsidR="00F909CB" w:rsidRDefault="00F909CB" w:rsidP="00F909CB">
      <w:pPr>
        <w:tabs>
          <w:tab w:val="left" w:pos="2506"/>
        </w:tabs>
        <w:rPr>
          <w:rFonts w:asciiTheme="minorHAnsi" w:hAnsiTheme="minorHAnsi" w:cstheme="minorHAnsi"/>
          <w:w w:val="105"/>
          <w:sz w:val="24"/>
          <w:szCs w:val="24"/>
        </w:rPr>
      </w:pPr>
    </w:p>
    <w:p w:rsidR="00F909CB" w:rsidRDefault="00F909CB" w:rsidP="00F909CB">
      <w:pPr>
        <w:tabs>
          <w:tab w:val="left" w:pos="2506"/>
        </w:tabs>
        <w:rPr>
          <w:rFonts w:asciiTheme="minorHAnsi" w:hAnsiTheme="minorHAnsi" w:cstheme="minorHAnsi"/>
          <w:w w:val="105"/>
          <w:sz w:val="24"/>
          <w:szCs w:val="24"/>
        </w:rPr>
      </w:pPr>
    </w:p>
    <w:p w:rsidR="00F909CB" w:rsidRDefault="00F909CB" w:rsidP="00F909CB">
      <w:pPr>
        <w:tabs>
          <w:tab w:val="left" w:pos="2506"/>
        </w:tabs>
        <w:rPr>
          <w:rFonts w:asciiTheme="minorHAnsi" w:hAnsiTheme="minorHAnsi" w:cstheme="minorHAnsi"/>
          <w:w w:val="105"/>
          <w:sz w:val="24"/>
          <w:szCs w:val="24"/>
        </w:rPr>
      </w:pPr>
    </w:p>
    <w:p w:rsidR="00F909CB" w:rsidRDefault="00F909CB" w:rsidP="00F909CB">
      <w:pPr>
        <w:tabs>
          <w:tab w:val="left" w:pos="2506"/>
        </w:tabs>
        <w:rPr>
          <w:rFonts w:asciiTheme="minorHAnsi" w:hAnsiTheme="minorHAnsi" w:cstheme="minorHAnsi"/>
          <w:w w:val="105"/>
          <w:sz w:val="24"/>
          <w:szCs w:val="24"/>
        </w:rPr>
      </w:pPr>
    </w:p>
    <w:p w:rsidR="00F909CB" w:rsidRDefault="00F909CB" w:rsidP="00F909CB">
      <w:pPr>
        <w:tabs>
          <w:tab w:val="left" w:pos="2506"/>
        </w:tabs>
        <w:rPr>
          <w:rFonts w:asciiTheme="minorHAnsi" w:hAnsiTheme="minorHAnsi" w:cstheme="minorHAnsi"/>
          <w:w w:val="105"/>
          <w:sz w:val="24"/>
          <w:szCs w:val="24"/>
        </w:rPr>
      </w:pPr>
    </w:p>
    <w:p w:rsidR="00F909CB" w:rsidRDefault="00F909CB" w:rsidP="00F909CB">
      <w:pPr>
        <w:tabs>
          <w:tab w:val="left" w:pos="2506"/>
        </w:tabs>
        <w:rPr>
          <w:rFonts w:asciiTheme="minorHAnsi" w:hAnsiTheme="minorHAnsi" w:cstheme="minorHAnsi"/>
          <w:w w:val="105"/>
          <w:sz w:val="24"/>
          <w:szCs w:val="24"/>
        </w:rPr>
      </w:pPr>
    </w:p>
    <w:p w:rsidR="00F909CB" w:rsidRDefault="00F909CB" w:rsidP="00F909CB">
      <w:pPr>
        <w:tabs>
          <w:tab w:val="left" w:pos="2506"/>
        </w:tabs>
        <w:rPr>
          <w:rFonts w:asciiTheme="minorHAnsi" w:hAnsiTheme="minorHAnsi" w:cstheme="minorHAnsi"/>
          <w:w w:val="105"/>
          <w:sz w:val="24"/>
          <w:szCs w:val="24"/>
        </w:rPr>
      </w:pPr>
    </w:p>
    <w:p w:rsidR="00F909CB" w:rsidRDefault="00F909CB" w:rsidP="00F909CB">
      <w:pPr>
        <w:tabs>
          <w:tab w:val="left" w:pos="2506"/>
        </w:tabs>
        <w:rPr>
          <w:rFonts w:asciiTheme="minorHAnsi" w:hAnsiTheme="minorHAnsi" w:cstheme="minorHAnsi"/>
          <w:w w:val="105"/>
          <w:sz w:val="24"/>
          <w:szCs w:val="24"/>
        </w:rPr>
      </w:pPr>
    </w:p>
    <w:p w:rsidR="00F909CB" w:rsidRDefault="00F909CB" w:rsidP="00F909CB">
      <w:pPr>
        <w:tabs>
          <w:tab w:val="left" w:pos="2506"/>
        </w:tabs>
        <w:rPr>
          <w:rFonts w:asciiTheme="minorHAnsi" w:hAnsiTheme="minorHAnsi" w:cstheme="minorHAnsi"/>
          <w:w w:val="105"/>
          <w:sz w:val="24"/>
          <w:szCs w:val="24"/>
        </w:rPr>
      </w:pPr>
    </w:p>
    <w:p w:rsidR="00F909CB" w:rsidRDefault="00F909CB" w:rsidP="00F909CB">
      <w:pPr>
        <w:tabs>
          <w:tab w:val="left" w:pos="2506"/>
        </w:tabs>
        <w:rPr>
          <w:rFonts w:asciiTheme="minorHAnsi" w:hAnsiTheme="minorHAnsi" w:cstheme="minorHAnsi"/>
          <w:w w:val="105"/>
          <w:sz w:val="24"/>
          <w:szCs w:val="24"/>
        </w:rPr>
      </w:pPr>
    </w:p>
    <w:p w:rsidR="00F909CB" w:rsidRDefault="00F909CB" w:rsidP="00F909CB">
      <w:pPr>
        <w:tabs>
          <w:tab w:val="left" w:pos="2506"/>
        </w:tabs>
        <w:rPr>
          <w:rFonts w:asciiTheme="minorHAnsi" w:hAnsiTheme="minorHAnsi" w:cstheme="minorHAnsi"/>
          <w:w w:val="105"/>
          <w:sz w:val="24"/>
          <w:szCs w:val="24"/>
        </w:rPr>
      </w:pPr>
    </w:p>
    <w:p w:rsidR="00F909CB" w:rsidRPr="00F909CB" w:rsidRDefault="00F909CB" w:rsidP="00F909CB">
      <w:pPr>
        <w:tabs>
          <w:tab w:val="left" w:pos="2506"/>
        </w:tabs>
        <w:rPr>
          <w:rFonts w:asciiTheme="minorHAnsi" w:hAnsiTheme="minorHAnsi" w:cstheme="minorHAnsi"/>
          <w:w w:val="105"/>
          <w:sz w:val="24"/>
          <w:szCs w:val="24"/>
        </w:rPr>
      </w:pPr>
    </w:p>
    <w:p w:rsidR="000011E9" w:rsidRPr="00014438" w:rsidRDefault="000011E9">
      <w:pPr>
        <w:pStyle w:val="BodyText"/>
        <w:spacing w:before="3"/>
        <w:rPr>
          <w:rFonts w:asciiTheme="minorHAnsi" w:hAnsiTheme="minorHAnsi" w:cstheme="minorHAnsi"/>
          <w:w w:val="105"/>
          <w:sz w:val="24"/>
          <w:szCs w:val="24"/>
        </w:rPr>
      </w:pPr>
    </w:p>
    <w:p w:rsidR="00F909CB" w:rsidRPr="00F909CB" w:rsidRDefault="0058769F" w:rsidP="00F909CB">
      <w:pPr>
        <w:pStyle w:val="Heading1"/>
        <w:spacing w:line="374" w:lineRule="auto"/>
        <w:ind w:left="0" w:right="59" w:firstLine="7"/>
        <w:rPr>
          <w:rFonts w:asciiTheme="minorHAnsi" w:hAnsiTheme="minorHAnsi" w:cstheme="minorHAnsi"/>
          <w:w w:val="105"/>
          <w:sz w:val="24"/>
          <w:szCs w:val="24"/>
        </w:rPr>
      </w:pPr>
      <w:r w:rsidRPr="00F909CB">
        <w:rPr>
          <w:rFonts w:asciiTheme="minorHAnsi" w:hAnsiTheme="minorHAnsi" w:cstheme="minorHAnsi"/>
          <w:w w:val="105"/>
          <w:sz w:val="24"/>
          <w:szCs w:val="24"/>
        </w:rPr>
        <w:t>CHAPTER 3</w:t>
      </w:r>
    </w:p>
    <w:p w:rsidR="000011E9" w:rsidRPr="00F909CB" w:rsidRDefault="0058769F" w:rsidP="00F909CB">
      <w:pPr>
        <w:pStyle w:val="Heading1"/>
        <w:spacing w:line="374" w:lineRule="auto"/>
        <w:ind w:left="0" w:right="59" w:firstLine="7"/>
        <w:rPr>
          <w:rFonts w:asciiTheme="minorHAnsi" w:hAnsiTheme="minorHAnsi" w:cstheme="minorHAnsi"/>
          <w:w w:val="105"/>
          <w:sz w:val="24"/>
          <w:szCs w:val="24"/>
        </w:rPr>
      </w:pPr>
      <w:r w:rsidRPr="00F909CB">
        <w:rPr>
          <w:rFonts w:asciiTheme="minorHAnsi" w:hAnsiTheme="minorHAnsi" w:cstheme="minorHAnsi"/>
          <w:w w:val="105"/>
          <w:sz w:val="24"/>
          <w:szCs w:val="24"/>
        </w:rPr>
        <w:t>MISCELLANEOUS</w:t>
      </w:r>
    </w:p>
    <w:p w:rsidR="000011E9" w:rsidRPr="00F909CB" w:rsidRDefault="0058769F" w:rsidP="00ED4ADE">
      <w:pPr>
        <w:pStyle w:val="Heading2"/>
        <w:numPr>
          <w:ilvl w:val="0"/>
          <w:numId w:val="7"/>
        </w:numPr>
        <w:tabs>
          <w:tab w:val="left" w:pos="1032"/>
        </w:tabs>
        <w:spacing w:before="120"/>
        <w:ind w:left="1031" w:hanging="747"/>
        <w:jc w:val="both"/>
        <w:rPr>
          <w:rFonts w:asciiTheme="minorHAnsi" w:hAnsiTheme="minorHAnsi" w:cstheme="minorHAnsi"/>
          <w:w w:val="105"/>
        </w:rPr>
      </w:pPr>
      <w:r w:rsidRPr="00F909CB">
        <w:rPr>
          <w:rFonts w:asciiTheme="minorHAnsi" w:hAnsiTheme="minorHAnsi" w:cstheme="minorHAnsi"/>
          <w:w w:val="105"/>
        </w:rPr>
        <w:t>Power to give directions</w:t>
      </w:r>
    </w:p>
    <w:p w:rsidR="000011E9" w:rsidRPr="00014438" w:rsidRDefault="000011E9">
      <w:pPr>
        <w:pStyle w:val="BodyText"/>
        <w:rPr>
          <w:rFonts w:asciiTheme="minorHAnsi" w:hAnsiTheme="minorHAnsi" w:cstheme="minorHAnsi"/>
          <w:w w:val="105"/>
          <w:sz w:val="24"/>
          <w:szCs w:val="24"/>
        </w:rPr>
      </w:pPr>
    </w:p>
    <w:p w:rsidR="000011E9" w:rsidRPr="00014438" w:rsidRDefault="0058769F" w:rsidP="00ED4ADE">
      <w:pPr>
        <w:pStyle w:val="BodyText"/>
        <w:spacing w:line="362" w:lineRule="auto"/>
        <w:ind w:left="993" w:right="580"/>
        <w:jc w:val="both"/>
        <w:rPr>
          <w:rFonts w:asciiTheme="minorHAnsi" w:hAnsiTheme="minorHAnsi" w:cstheme="minorHAnsi"/>
          <w:w w:val="105"/>
          <w:sz w:val="24"/>
          <w:szCs w:val="24"/>
        </w:rPr>
      </w:pPr>
      <w:r w:rsidRPr="00014438">
        <w:rPr>
          <w:rFonts w:asciiTheme="minorHAnsi" w:hAnsiTheme="minorHAnsi" w:cstheme="minorHAnsi"/>
          <w:w w:val="105"/>
          <w:sz w:val="24"/>
          <w:szCs w:val="24"/>
        </w:rPr>
        <w:t>The Commission may from time to time issue such directions and orders as considered appropriate for implementation of these Regulations.</w:t>
      </w:r>
    </w:p>
    <w:p w:rsidR="000011E9" w:rsidRPr="00F909CB" w:rsidRDefault="0058769F" w:rsidP="00ED4ADE">
      <w:pPr>
        <w:pStyle w:val="Heading2"/>
        <w:numPr>
          <w:ilvl w:val="0"/>
          <w:numId w:val="7"/>
        </w:numPr>
        <w:spacing w:before="117"/>
        <w:ind w:left="993" w:hanging="709"/>
        <w:jc w:val="both"/>
        <w:rPr>
          <w:rFonts w:asciiTheme="minorHAnsi" w:hAnsiTheme="minorHAnsi" w:cstheme="minorHAnsi"/>
          <w:w w:val="105"/>
        </w:rPr>
      </w:pPr>
      <w:r w:rsidRPr="00F909CB">
        <w:rPr>
          <w:rFonts w:asciiTheme="minorHAnsi" w:hAnsiTheme="minorHAnsi" w:cstheme="minorHAnsi"/>
          <w:w w:val="105"/>
        </w:rPr>
        <w:t>Power to relax</w:t>
      </w:r>
    </w:p>
    <w:p w:rsidR="000011E9" w:rsidRPr="00014438" w:rsidRDefault="000011E9">
      <w:pPr>
        <w:pStyle w:val="BodyText"/>
        <w:spacing w:before="2"/>
        <w:rPr>
          <w:rFonts w:asciiTheme="minorHAnsi" w:hAnsiTheme="minorHAnsi" w:cstheme="minorHAnsi"/>
          <w:w w:val="105"/>
          <w:sz w:val="24"/>
          <w:szCs w:val="24"/>
        </w:rPr>
      </w:pPr>
    </w:p>
    <w:p w:rsidR="000011E9" w:rsidRPr="00014438" w:rsidRDefault="0058769F" w:rsidP="00ED4ADE">
      <w:pPr>
        <w:pStyle w:val="BodyText"/>
        <w:spacing w:line="360" w:lineRule="auto"/>
        <w:ind w:left="993" w:right="585"/>
        <w:jc w:val="both"/>
        <w:rPr>
          <w:rFonts w:asciiTheme="minorHAnsi" w:hAnsiTheme="minorHAnsi" w:cstheme="minorHAnsi"/>
          <w:w w:val="105"/>
          <w:sz w:val="24"/>
          <w:szCs w:val="24"/>
        </w:rPr>
      </w:pPr>
      <w:r w:rsidRPr="00014438">
        <w:rPr>
          <w:rFonts w:asciiTheme="minorHAnsi" w:hAnsiTheme="minorHAnsi" w:cstheme="minorHAnsi"/>
          <w:w w:val="105"/>
          <w:sz w:val="24"/>
          <w:szCs w:val="24"/>
        </w:rPr>
        <w:t>The Commission may by general or special order, for reasons to be recorded in writing, and after giving an opportunity of hearing to the parties likely to be affected, may relax any of the provisions of these Regulations on its own motion or on an application made before it by an interested person.</w:t>
      </w:r>
    </w:p>
    <w:p w:rsidR="000011E9" w:rsidRPr="00F909CB" w:rsidRDefault="0058769F" w:rsidP="00ED4ADE">
      <w:pPr>
        <w:pStyle w:val="Heading2"/>
        <w:numPr>
          <w:ilvl w:val="0"/>
          <w:numId w:val="7"/>
        </w:numPr>
        <w:spacing w:before="122"/>
        <w:ind w:left="993" w:hanging="709"/>
        <w:jc w:val="both"/>
        <w:rPr>
          <w:rFonts w:asciiTheme="minorHAnsi" w:hAnsiTheme="minorHAnsi" w:cstheme="minorHAnsi"/>
          <w:w w:val="105"/>
        </w:rPr>
      </w:pPr>
      <w:r w:rsidRPr="00F909CB">
        <w:rPr>
          <w:rFonts w:asciiTheme="minorHAnsi" w:hAnsiTheme="minorHAnsi" w:cstheme="minorHAnsi"/>
          <w:w w:val="105"/>
        </w:rPr>
        <w:t>Power to amend</w:t>
      </w:r>
    </w:p>
    <w:p w:rsidR="000011E9" w:rsidRPr="00014438" w:rsidRDefault="000011E9">
      <w:pPr>
        <w:pStyle w:val="BodyText"/>
        <w:rPr>
          <w:rFonts w:asciiTheme="minorHAnsi" w:hAnsiTheme="minorHAnsi" w:cstheme="minorHAnsi"/>
          <w:w w:val="105"/>
          <w:sz w:val="24"/>
          <w:szCs w:val="24"/>
        </w:rPr>
      </w:pPr>
    </w:p>
    <w:p w:rsidR="000011E9" w:rsidRPr="00014438" w:rsidRDefault="0058769F" w:rsidP="00ED4ADE">
      <w:pPr>
        <w:pStyle w:val="BodyText"/>
        <w:spacing w:line="362" w:lineRule="auto"/>
        <w:ind w:left="993" w:right="585"/>
        <w:jc w:val="both"/>
        <w:rPr>
          <w:rFonts w:asciiTheme="minorHAnsi" w:hAnsiTheme="minorHAnsi" w:cstheme="minorHAnsi"/>
          <w:w w:val="105"/>
          <w:sz w:val="24"/>
          <w:szCs w:val="24"/>
        </w:rPr>
      </w:pPr>
      <w:r w:rsidRPr="00014438">
        <w:rPr>
          <w:rFonts w:asciiTheme="minorHAnsi" w:hAnsiTheme="minorHAnsi" w:cstheme="minorHAnsi"/>
          <w:w w:val="105"/>
          <w:sz w:val="24"/>
          <w:szCs w:val="24"/>
        </w:rPr>
        <w:t>The Commission may from time to time add, vary, alter, suspend, modify, amend, or repeal any provisions of these Regulations.</w:t>
      </w:r>
    </w:p>
    <w:p w:rsidR="000011E9" w:rsidRPr="00F909CB" w:rsidRDefault="0058769F" w:rsidP="00ED4ADE">
      <w:pPr>
        <w:pStyle w:val="Heading2"/>
        <w:numPr>
          <w:ilvl w:val="0"/>
          <w:numId w:val="7"/>
        </w:numPr>
        <w:tabs>
          <w:tab w:val="left" w:pos="993"/>
        </w:tabs>
        <w:spacing w:before="117"/>
        <w:ind w:left="993" w:hanging="709"/>
        <w:jc w:val="left"/>
        <w:rPr>
          <w:rFonts w:asciiTheme="minorHAnsi" w:hAnsiTheme="minorHAnsi" w:cstheme="minorHAnsi"/>
          <w:w w:val="105"/>
        </w:rPr>
      </w:pPr>
      <w:r w:rsidRPr="00F909CB">
        <w:rPr>
          <w:rFonts w:asciiTheme="minorHAnsi" w:hAnsiTheme="minorHAnsi" w:cstheme="minorHAnsi"/>
          <w:w w:val="105"/>
        </w:rPr>
        <w:t>Power to remove difficulties</w:t>
      </w:r>
    </w:p>
    <w:p w:rsidR="000011E9" w:rsidRPr="00014438" w:rsidRDefault="000011E9">
      <w:pPr>
        <w:pStyle w:val="BodyText"/>
        <w:spacing w:before="2"/>
        <w:rPr>
          <w:rFonts w:asciiTheme="minorHAnsi" w:hAnsiTheme="minorHAnsi" w:cstheme="minorHAnsi"/>
          <w:w w:val="105"/>
          <w:sz w:val="24"/>
          <w:szCs w:val="24"/>
        </w:rPr>
      </w:pPr>
    </w:p>
    <w:p w:rsidR="000011E9" w:rsidRPr="00014438" w:rsidRDefault="0058769F" w:rsidP="00ED4ADE">
      <w:pPr>
        <w:pStyle w:val="BodyText"/>
        <w:spacing w:line="360" w:lineRule="auto"/>
        <w:ind w:left="993" w:right="581"/>
        <w:jc w:val="both"/>
        <w:rPr>
          <w:rFonts w:asciiTheme="minorHAnsi" w:hAnsiTheme="minorHAnsi" w:cstheme="minorHAnsi"/>
          <w:w w:val="105"/>
          <w:sz w:val="24"/>
          <w:szCs w:val="24"/>
        </w:rPr>
      </w:pPr>
      <w:r w:rsidRPr="00014438">
        <w:rPr>
          <w:rFonts w:asciiTheme="minorHAnsi" w:hAnsiTheme="minorHAnsi" w:cstheme="minorHAnsi"/>
          <w:w w:val="105"/>
          <w:sz w:val="24"/>
          <w:szCs w:val="24"/>
        </w:rPr>
        <w:t>If any difficulty arises in giving effect to the provisions of these Regulations, the Commission may, by an order, make such provisions, not inconsistent to the provision of the Act and these Regulations, as may appear to be necessary for removing the difficulty.</w:t>
      </w:r>
    </w:p>
    <w:p w:rsidR="00F909CB" w:rsidRDefault="00F909CB">
      <w:pPr>
        <w:pStyle w:val="Heading2"/>
        <w:spacing w:before="120"/>
        <w:ind w:left="0" w:right="582" w:firstLine="0"/>
        <w:jc w:val="right"/>
        <w:rPr>
          <w:rFonts w:asciiTheme="minorHAnsi" w:hAnsiTheme="minorHAnsi" w:cstheme="minorHAnsi"/>
          <w:b w:val="0"/>
          <w:bCs w:val="0"/>
          <w:w w:val="105"/>
        </w:rPr>
      </w:pPr>
    </w:p>
    <w:p w:rsidR="00F909CB" w:rsidRPr="00ED4ADE" w:rsidRDefault="00ED4ADE">
      <w:pPr>
        <w:pStyle w:val="Heading2"/>
        <w:spacing w:before="120"/>
        <w:ind w:left="0" w:right="582" w:firstLine="0"/>
        <w:jc w:val="right"/>
        <w:rPr>
          <w:rFonts w:asciiTheme="minorHAnsi" w:hAnsiTheme="minorHAnsi" w:cstheme="minorHAnsi"/>
          <w:b w:val="0"/>
          <w:bCs w:val="0"/>
          <w:i/>
          <w:w w:val="105"/>
        </w:rPr>
      </w:pPr>
      <w:proofErr w:type="spellStart"/>
      <w:proofErr w:type="gramStart"/>
      <w:r w:rsidRPr="00ED4ADE">
        <w:rPr>
          <w:rFonts w:asciiTheme="minorHAnsi" w:hAnsiTheme="minorHAnsi" w:cstheme="minorHAnsi"/>
          <w:b w:val="0"/>
          <w:bCs w:val="0"/>
          <w:i/>
          <w:w w:val="105"/>
        </w:rPr>
        <w:t>Sd</w:t>
      </w:r>
      <w:proofErr w:type="spellEnd"/>
      <w:proofErr w:type="gramEnd"/>
      <w:r w:rsidRPr="00ED4ADE">
        <w:rPr>
          <w:rFonts w:asciiTheme="minorHAnsi" w:hAnsiTheme="minorHAnsi" w:cstheme="minorHAnsi"/>
          <w:b w:val="0"/>
          <w:bCs w:val="0"/>
          <w:i/>
          <w:w w:val="105"/>
        </w:rPr>
        <w:t>/-</w:t>
      </w:r>
    </w:p>
    <w:p w:rsidR="000011E9" w:rsidRPr="00ED4ADE" w:rsidRDefault="00AC31A8" w:rsidP="00AC31A8">
      <w:pPr>
        <w:ind w:right="581"/>
        <w:jc w:val="right"/>
        <w:rPr>
          <w:rFonts w:asciiTheme="minorHAnsi" w:hAnsiTheme="minorHAnsi" w:cstheme="minorHAnsi"/>
          <w:b/>
          <w:w w:val="105"/>
          <w:sz w:val="24"/>
          <w:szCs w:val="24"/>
        </w:rPr>
      </w:pPr>
      <w:r w:rsidRPr="00ED4ADE">
        <w:rPr>
          <w:rFonts w:asciiTheme="minorHAnsi" w:hAnsiTheme="minorHAnsi" w:cstheme="minorHAnsi"/>
          <w:b/>
          <w:w w:val="105"/>
          <w:sz w:val="24"/>
          <w:szCs w:val="24"/>
        </w:rPr>
        <w:t>Deputy Director</w:t>
      </w:r>
    </w:p>
    <w:p w:rsidR="00AC31A8" w:rsidRPr="00014438" w:rsidRDefault="00AC31A8" w:rsidP="00AC31A8">
      <w:pPr>
        <w:ind w:right="581"/>
        <w:jc w:val="right"/>
        <w:rPr>
          <w:rFonts w:asciiTheme="minorHAnsi" w:hAnsiTheme="minorHAnsi" w:cstheme="minorHAnsi"/>
          <w:w w:val="105"/>
          <w:sz w:val="24"/>
          <w:szCs w:val="24"/>
        </w:rPr>
      </w:pPr>
      <w:r>
        <w:rPr>
          <w:rFonts w:asciiTheme="minorHAnsi" w:hAnsiTheme="minorHAnsi" w:cstheme="minorHAnsi"/>
          <w:w w:val="105"/>
          <w:sz w:val="24"/>
          <w:szCs w:val="24"/>
        </w:rPr>
        <w:t>NERC, Kohima</w:t>
      </w:r>
    </w:p>
    <w:sectPr w:rsidR="00AC31A8" w:rsidRPr="00014438" w:rsidSect="001D4EBC">
      <w:pgSz w:w="12240" w:h="15840"/>
      <w:pgMar w:top="1480" w:right="700" w:bottom="280" w:left="17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66223"/>
    <w:multiLevelType w:val="hybridMultilevel"/>
    <w:tmpl w:val="5BF073EC"/>
    <w:lvl w:ilvl="0" w:tplc="8394483E">
      <w:start w:val="1"/>
      <w:numFmt w:val="lowerLetter"/>
      <w:lvlText w:val="%1)"/>
      <w:lvlJc w:val="left"/>
      <w:pPr>
        <w:ind w:left="834" w:hanging="274"/>
      </w:pPr>
      <w:rPr>
        <w:rFonts w:hint="default"/>
        <w:spacing w:val="-1"/>
        <w:w w:val="100"/>
        <w:lang w:val="en-US" w:eastAsia="en-US" w:bidi="ar-SA"/>
      </w:rPr>
    </w:lvl>
    <w:lvl w:ilvl="1" w:tplc="F9AE2A3C">
      <w:numFmt w:val="bullet"/>
      <w:lvlText w:val="•"/>
      <w:lvlJc w:val="left"/>
      <w:pPr>
        <w:ind w:left="1740" w:hanging="274"/>
      </w:pPr>
      <w:rPr>
        <w:rFonts w:hint="default"/>
        <w:lang w:val="en-US" w:eastAsia="en-US" w:bidi="ar-SA"/>
      </w:rPr>
    </w:lvl>
    <w:lvl w:ilvl="2" w:tplc="C15A4DBE">
      <w:numFmt w:val="bullet"/>
      <w:lvlText w:val="•"/>
      <w:lvlJc w:val="left"/>
      <w:pPr>
        <w:ind w:left="2640" w:hanging="274"/>
      </w:pPr>
      <w:rPr>
        <w:rFonts w:hint="default"/>
        <w:lang w:val="en-US" w:eastAsia="en-US" w:bidi="ar-SA"/>
      </w:rPr>
    </w:lvl>
    <w:lvl w:ilvl="3" w:tplc="D772ABC6">
      <w:numFmt w:val="bullet"/>
      <w:lvlText w:val="•"/>
      <w:lvlJc w:val="left"/>
      <w:pPr>
        <w:ind w:left="3540" w:hanging="274"/>
      </w:pPr>
      <w:rPr>
        <w:rFonts w:hint="default"/>
        <w:lang w:val="en-US" w:eastAsia="en-US" w:bidi="ar-SA"/>
      </w:rPr>
    </w:lvl>
    <w:lvl w:ilvl="4" w:tplc="4A005CFA">
      <w:numFmt w:val="bullet"/>
      <w:lvlText w:val="•"/>
      <w:lvlJc w:val="left"/>
      <w:pPr>
        <w:ind w:left="4440" w:hanging="274"/>
      </w:pPr>
      <w:rPr>
        <w:rFonts w:hint="default"/>
        <w:lang w:val="en-US" w:eastAsia="en-US" w:bidi="ar-SA"/>
      </w:rPr>
    </w:lvl>
    <w:lvl w:ilvl="5" w:tplc="7A22D454">
      <w:numFmt w:val="bullet"/>
      <w:lvlText w:val="•"/>
      <w:lvlJc w:val="left"/>
      <w:pPr>
        <w:ind w:left="5340" w:hanging="274"/>
      </w:pPr>
      <w:rPr>
        <w:rFonts w:hint="default"/>
        <w:lang w:val="en-US" w:eastAsia="en-US" w:bidi="ar-SA"/>
      </w:rPr>
    </w:lvl>
    <w:lvl w:ilvl="6" w:tplc="4E22CF0E">
      <w:numFmt w:val="bullet"/>
      <w:lvlText w:val="•"/>
      <w:lvlJc w:val="left"/>
      <w:pPr>
        <w:ind w:left="6240" w:hanging="274"/>
      </w:pPr>
      <w:rPr>
        <w:rFonts w:hint="default"/>
        <w:lang w:val="en-US" w:eastAsia="en-US" w:bidi="ar-SA"/>
      </w:rPr>
    </w:lvl>
    <w:lvl w:ilvl="7" w:tplc="E6F61DA0">
      <w:numFmt w:val="bullet"/>
      <w:lvlText w:val="•"/>
      <w:lvlJc w:val="left"/>
      <w:pPr>
        <w:ind w:left="7140" w:hanging="274"/>
      </w:pPr>
      <w:rPr>
        <w:rFonts w:hint="default"/>
        <w:lang w:val="en-US" w:eastAsia="en-US" w:bidi="ar-SA"/>
      </w:rPr>
    </w:lvl>
    <w:lvl w:ilvl="8" w:tplc="DC3A2DEA">
      <w:numFmt w:val="bullet"/>
      <w:lvlText w:val="•"/>
      <w:lvlJc w:val="left"/>
      <w:pPr>
        <w:ind w:left="8040" w:hanging="274"/>
      </w:pPr>
      <w:rPr>
        <w:rFonts w:hint="default"/>
        <w:lang w:val="en-US" w:eastAsia="en-US" w:bidi="ar-SA"/>
      </w:rPr>
    </w:lvl>
  </w:abstractNum>
  <w:abstractNum w:abstractNumId="1">
    <w:nsid w:val="48CC0EEA"/>
    <w:multiLevelType w:val="hybridMultilevel"/>
    <w:tmpl w:val="D2F210A4"/>
    <w:lvl w:ilvl="0" w:tplc="AAA891FA">
      <w:start w:val="1"/>
      <w:numFmt w:val="lowerLetter"/>
      <w:lvlText w:val="%1)"/>
      <w:lvlJc w:val="left"/>
      <w:pPr>
        <w:ind w:left="1194" w:hanging="360"/>
      </w:pPr>
      <w:rPr>
        <w:rFonts w:ascii="Cambria" w:eastAsia="Cambria" w:hAnsi="Cambria" w:cs="Cambria" w:hint="default"/>
        <w:w w:val="100"/>
        <w:sz w:val="22"/>
        <w:szCs w:val="22"/>
        <w:lang w:val="en-US" w:eastAsia="en-US" w:bidi="ar-SA"/>
      </w:rPr>
    </w:lvl>
    <w:lvl w:ilvl="1" w:tplc="A2EA6676">
      <w:numFmt w:val="bullet"/>
      <w:lvlText w:val="•"/>
      <w:lvlJc w:val="left"/>
      <w:pPr>
        <w:ind w:left="2064" w:hanging="360"/>
      </w:pPr>
      <w:rPr>
        <w:rFonts w:hint="default"/>
        <w:lang w:val="en-US" w:eastAsia="en-US" w:bidi="ar-SA"/>
      </w:rPr>
    </w:lvl>
    <w:lvl w:ilvl="2" w:tplc="4F4A5656">
      <w:numFmt w:val="bullet"/>
      <w:lvlText w:val="•"/>
      <w:lvlJc w:val="left"/>
      <w:pPr>
        <w:ind w:left="2928" w:hanging="360"/>
      </w:pPr>
      <w:rPr>
        <w:rFonts w:hint="default"/>
        <w:lang w:val="en-US" w:eastAsia="en-US" w:bidi="ar-SA"/>
      </w:rPr>
    </w:lvl>
    <w:lvl w:ilvl="3" w:tplc="7A8607D0">
      <w:numFmt w:val="bullet"/>
      <w:lvlText w:val="•"/>
      <w:lvlJc w:val="left"/>
      <w:pPr>
        <w:ind w:left="3792" w:hanging="360"/>
      </w:pPr>
      <w:rPr>
        <w:rFonts w:hint="default"/>
        <w:lang w:val="en-US" w:eastAsia="en-US" w:bidi="ar-SA"/>
      </w:rPr>
    </w:lvl>
    <w:lvl w:ilvl="4" w:tplc="204ED828">
      <w:numFmt w:val="bullet"/>
      <w:lvlText w:val="•"/>
      <w:lvlJc w:val="left"/>
      <w:pPr>
        <w:ind w:left="4656" w:hanging="360"/>
      </w:pPr>
      <w:rPr>
        <w:rFonts w:hint="default"/>
        <w:lang w:val="en-US" w:eastAsia="en-US" w:bidi="ar-SA"/>
      </w:rPr>
    </w:lvl>
    <w:lvl w:ilvl="5" w:tplc="11EE5460">
      <w:numFmt w:val="bullet"/>
      <w:lvlText w:val="•"/>
      <w:lvlJc w:val="left"/>
      <w:pPr>
        <w:ind w:left="5520" w:hanging="360"/>
      </w:pPr>
      <w:rPr>
        <w:rFonts w:hint="default"/>
        <w:lang w:val="en-US" w:eastAsia="en-US" w:bidi="ar-SA"/>
      </w:rPr>
    </w:lvl>
    <w:lvl w:ilvl="6" w:tplc="6144D60E">
      <w:numFmt w:val="bullet"/>
      <w:lvlText w:val="•"/>
      <w:lvlJc w:val="left"/>
      <w:pPr>
        <w:ind w:left="6384" w:hanging="360"/>
      </w:pPr>
      <w:rPr>
        <w:rFonts w:hint="default"/>
        <w:lang w:val="en-US" w:eastAsia="en-US" w:bidi="ar-SA"/>
      </w:rPr>
    </w:lvl>
    <w:lvl w:ilvl="7" w:tplc="67E40334">
      <w:numFmt w:val="bullet"/>
      <w:lvlText w:val="•"/>
      <w:lvlJc w:val="left"/>
      <w:pPr>
        <w:ind w:left="7248" w:hanging="360"/>
      </w:pPr>
      <w:rPr>
        <w:rFonts w:hint="default"/>
        <w:lang w:val="en-US" w:eastAsia="en-US" w:bidi="ar-SA"/>
      </w:rPr>
    </w:lvl>
    <w:lvl w:ilvl="8" w:tplc="6002B55C">
      <w:numFmt w:val="bullet"/>
      <w:lvlText w:val="•"/>
      <w:lvlJc w:val="left"/>
      <w:pPr>
        <w:ind w:left="8112" w:hanging="360"/>
      </w:pPr>
      <w:rPr>
        <w:rFonts w:hint="default"/>
        <w:lang w:val="en-US" w:eastAsia="en-US" w:bidi="ar-SA"/>
      </w:rPr>
    </w:lvl>
  </w:abstractNum>
  <w:abstractNum w:abstractNumId="2">
    <w:nsid w:val="5DA72B78"/>
    <w:multiLevelType w:val="hybridMultilevel"/>
    <w:tmpl w:val="BC5C8A1A"/>
    <w:lvl w:ilvl="0" w:tplc="7B0CF51C">
      <w:start w:val="1"/>
      <w:numFmt w:val="lowerLetter"/>
      <w:lvlText w:val="%1)"/>
      <w:lvlJc w:val="left"/>
      <w:pPr>
        <w:ind w:left="1173" w:hanging="360"/>
      </w:pPr>
      <w:rPr>
        <w:rFonts w:ascii="Cambria" w:eastAsia="Cambria" w:hAnsi="Cambria" w:cs="Cambria" w:hint="default"/>
        <w:w w:val="100"/>
        <w:sz w:val="22"/>
        <w:szCs w:val="22"/>
        <w:lang w:val="en-US" w:eastAsia="en-US" w:bidi="ar-SA"/>
      </w:rPr>
    </w:lvl>
    <w:lvl w:ilvl="1" w:tplc="BA4693F2">
      <w:numFmt w:val="bullet"/>
      <w:lvlText w:val="•"/>
      <w:lvlJc w:val="left"/>
      <w:pPr>
        <w:ind w:left="2046" w:hanging="360"/>
      </w:pPr>
      <w:rPr>
        <w:rFonts w:hint="default"/>
        <w:lang w:val="en-US" w:eastAsia="en-US" w:bidi="ar-SA"/>
      </w:rPr>
    </w:lvl>
    <w:lvl w:ilvl="2" w:tplc="5288876C">
      <w:numFmt w:val="bullet"/>
      <w:lvlText w:val="•"/>
      <w:lvlJc w:val="left"/>
      <w:pPr>
        <w:ind w:left="2912" w:hanging="360"/>
      </w:pPr>
      <w:rPr>
        <w:rFonts w:hint="default"/>
        <w:lang w:val="en-US" w:eastAsia="en-US" w:bidi="ar-SA"/>
      </w:rPr>
    </w:lvl>
    <w:lvl w:ilvl="3" w:tplc="B72450D8">
      <w:numFmt w:val="bullet"/>
      <w:lvlText w:val="•"/>
      <w:lvlJc w:val="left"/>
      <w:pPr>
        <w:ind w:left="3778" w:hanging="360"/>
      </w:pPr>
      <w:rPr>
        <w:rFonts w:hint="default"/>
        <w:lang w:val="en-US" w:eastAsia="en-US" w:bidi="ar-SA"/>
      </w:rPr>
    </w:lvl>
    <w:lvl w:ilvl="4" w:tplc="025CF360">
      <w:numFmt w:val="bullet"/>
      <w:lvlText w:val="•"/>
      <w:lvlJc w:val="left"/>
      <w:pPr>
        <w:ind w:left="4644" w:hanging="360"/>
      </w:pPr>
      <w:rPr>
        <w:rFonts w:hint="default"/>
        <w:lang w:val="en-US" w:eastAsia="en-US" w:bidi="ar-SA"/>
      </w:rPr>
    </w:lvl>
    <w:lvl w:ilvl="5" w:tplc="3554697A">
      <w:numFmt w:val="bullet"/>
      <w:lvlText w:val="•"/>
      <w:lvlJc w:val="left"/>
      <w:pPr>
        <w:ind w:left="5510" w:hanging="360"/>
      </w:pPr>
      <w:rPr>
        <w:rFonts w:hint="default"/>
        <w:lang w:val="en-US" w:eastAsia="en-US" w:bidi="ar-SA"/>
      </w:rPr>
    </w:lvl>
    <w:lvl w:ilvl="6" w:tplc="00D65BAC">
      <w:numFmt w:val="bullet"/>
      <w:lvlText w:val="•"/>
      <w:lvlJc w:val="left"/>
      <w:pPr>
        <w:ind w:left="6376" w:hanging="360"/>
      </w:pPr>
      <w:rPr>
        <w:rFonts w:hint="default"/>
        <w:lang w:val="en-US" w:eastAsia="en-US" w:bidi="ar-SA"/>
      </w:rPr>
    </w:lvl>
    <w:lvl w:ilvl="7" w:tplc="5D5877C2">
      <w:numFmt w:val="bullet"/>
      <w:lvlText w:val="•"/>
      <w:lvlJc w:val="left"/>
      <w:pPr>
        <w:ind w:left="7242" w:hanging="360"/>
      </w:pPr>
      <w:rPr>
        <w:rFonts w:hint="default"/>
        <w:lang w:val="en-US" w:eastAsia="en-US" w:bidi="ar-SA"/>
      </w:rPr>
    </w:lvl>
    <w:lvl w:ilvl="8" w:tplc="C54A40B0">
      <w:numFmt w:val="bullet"/>
      <w:lvlText w:val="•"/>
      <w:lvlJc w:val="left"/>
      <w:pPr>
        <w:ind w:left="8108" w:hanging="360"/>
      </w:pPr>
      <w:rPr>
        <w:rFonts w:hint="default"/>
        <w:lang w:val="en-US" w:eastAsia="en-US" w:bidi="ar-SA"/>
      </w:rPr>
    </w:lvl>
  </w:abstractNum>
  <w:abstractNum w:abstractNumId="3">
    <w:nsid w:val="648929FE"/>
    <w:multiLevelType w:val="hybridMultilevel"/>
    <w:tmpl w:val="4A145238"/>
    <w:lvl w:ilvl="0" w:tplc="B7BC38CC">
      <w:start w:val="1"/>
      <w:numFmt w:val="lowerLetter"/>
      <w:lvlText w:val="%1)"/>
      <w:lvlJc w:val="left"/>
      <w:pPr>
        <w:ind w:left="1233" w:hanging="279"/>
      </w:pPr>
      <w:rPr>
        <w:rFonts w:ascii="Cambria" w:eastAsia="Cambria" w:hAnsi="Cambria" w:cs="Cambria" w:hint="default"/>
        <w:b/>
        <w:bCs/>
        <w:spacing w:val="-1"/>
        <w:w w:val="104"/>
        <w:sz w:val="22"/>
        <w:szCs w:val="22"/>
        <w:lang w:val="en-US" w:eastAsia="en-US" w:bidi="ar-SA"/>
      </w:rPr>
    </w:lvl>
    <w:lvl w:ilvl="1" w:tplc="7DDAA748">
      <w:start w:val="1"/>
      <w:numFmt w:val="lowerRoman"/>
      <w:lvlText w:val="%2."/>
      <w:lvlJc w:val="left"/>
      <w:pPr>
        <w:ind w:left="2126" w:hanging="534"/>
        <w:jc w:val="right"/>
      </w:pPr>
      <w:rPr>
        <w:rFonts w:hint="default"/>
        <w:spacing w:val="0"/>
        <w:w w:val="100"/>
        <w:lang w:val="en-US" w:eastAsia="en-US" w:bidi="ar-SA"/>
      </w:rPr>
    </w:lvl>
    <w:lvl w:ilvl="2" w:tplc="F74C9FF8">
      <w:numFmt w:val="bullet"/>
      <w:lvlText w:val="•"/>
      <w:lvlJc w:val="left"/>
      <w:pPr>
        <w:ind w:left="2977" w:hanging="534"/>
      </w:pPr>
      <w:rPr>
        <w:rFonts w:hint="default"/>
        <w:lang w:val="en-US" w:eastAsia="en-US" w:bidi="ar-SA"/>
      </w:rPr>
    </w:lvl>
    <w:lvl w:ilvl="3" w:tplc="6122F1A6">
      <w:numFmt w:val="bullet"/>
      <w:lvlText w:val="•"/>
      <w:lvlJc w:val="left"/>
      <w:pPr>
        <w:ind w:left="3835" w:hanging="534"/>
      </w:pPr>
      <w:rPr>
        <w:rFonts w:hint="default"/>
        <w:lang w:val="en-US" w:eastAsia="en-US" w:bidi="ar-SA"/>
      </w:rPr>
    </w:lvl>
    <w:lvl w:ilvl="4" w:tplc="F98E43A2">
      <w:numFmt w:val="bullet"/>
      <w:lvlText w:val="•"/>
      <w:lvlJc w:val="left"/>
      <w:pPr>
        <w:ind w:left="4693" w:hanging="534"/>
      </w:pPr>
      <w:rPr>
        <w:rFonts w:hint="default"/>
        <w:lang w:val="en-US" w:eastAsia="en-US" w:bidi="ar-SA"/>
      </w:rPr>
    </w:lvl>
    <w:lvl w:ilvl="5" w:tplc="F9AE2F9E">
      <w:numFmt w:val="bullet"/>
      <w:lvlText w:val="•"/>
      <w:lvlJc w:val="left"/>
      <w:pPr>
        <w:ind w:left="5551" w:hanging="534"/>
      </w:pPr>
      <w:rPr>
        <w:rFonts w:hint="default"/>
        <w:lang w:val="en-US" w:eastAsia="en-US" w:bidi="ar-SA"/>
      </w:rPr>
    </w:lvl>
    <w:lvl w:ilvl="6" w:tplc="1B864394">
      <w:numFmt w:val="bullet"/>
      <w:lvlText w:val="•"/>
      <w:lvlJc w:val="left"/>
      <w:pPr>
        <w:ind w:left="6408" w:hanging="534"/>
      </w:pPr>
      <w:rPr>
        <w:rFonts w:hint="default"/>
        <w:lang w:val="en-US" w:eastAsia="en-US" w:bidi="ar-SA"/>
      </w:rPr>
    </w:lvl>
    <w:lvl w:ilvl="7" w:tplc="157442D6">
      <w:numFmt w:val="bullet"/>
      <w:lvlText w:val="•"/>
      <w:lvlJc w:val="left"/>
      <w:pPr>
        <w:ind w:left="7266" w:hanging="534"/>
      </w:pPr>
      <w:rPr>
        <w:rFonts w:hint="default"/>
        <w:lang w:val="en-US" w:eastAsia="en-US" w:bidi="ar-SA"/>
      </w:rPr>
    </w:lvl>
    <w:lvl w:ilvl="8" w:tplc="A04C2092">
      <w:numFmt w:val="bullet"/>
      <w:lvlText w:val="•"/>
      <w:lvlJc w:val="left"/>
      <w:pPr>
        <w:ind w:left="8124" w:hanging="534"/>
      </w:pPr>
      <w:rPr>
        <w:rFonts w:hint="default"/>
        <w:lang w:val="en-US" w:eastAsia="en-US" w:bidi="ar-SA"/>
      </w:rPr>
    </w:lvl>
  </w:abstractNum>
  <w:abstractNum w:abstractNumId="4">
    <w:nsid w:val="69175803"/>
    <w:multiLevelType w:val="hybridMultilevel"/>
    <w:tmpl w:val="57F6CB80"/>
    <w:lvl w:ilvl="0" w:tplc="6FCAF2F2">
      <w:start w:val="1"/>
      <w:numFmt w:val="decimal"/>
      <w:lvlText w:val="%1."/>
      <w:lvlJc w:val="left"/>
      <w:pPr>
        <w:ind w:left="832" w:hanging="680"/>
        <w:jc w:val="right"/>
      </w:pPr>
      <w:rPr>
        <w:rFonts w:hint="default"/>
        <w:b/>
        <w:bCs/>
        <w:spacing w:val="-1"/>
        <w:w w:val="91"/>
        <w:lang w:val="en-US" w:eastAsia="en-US" w:bidi="ar-SA"/>
      </w:rPr>
    </w:lvl>
    <w:lvl w:ilvl="1" w:tplc="CE5C2BDC">
      <w:start w:val="1"/>
      <w:numFmt w:val="decimal"/>
      <w:lvlText w:val="(%2)"/>
      <w:lvlJc w:val="left"/>
      <w:pPr>
        <w:ind w:left="1509" w:hanging="677"/>
      </w:pPr>
      <w:rPr>
        <w:rFonts w:ascii="Cambria" w:eastAsia="Cambria" w:hAnsi="Cambria" w:cs="Cambria" w:hint="default"/>
        <w:spacing w:val="0"/>
        <w:w w:val="89"/>
        <w:sz w:val="22"/>
        <w:szCs w:val="22"/>
        <w:lang w:val="en-US" w:eastAsia="en-US" w:bidi="ar-SA"/>
      </w:rPr>
    </w:lvl>
    <w:lvl w:ilvl="2" w:tplc="00A28E6A">
      <w:start w:val="1"/>
      <w:numFmt w:val="lowerLetter"/>
      <w:lvlText w:val="(%3)"/>
      <w:lvlJc w:val="left"/>
      <w:pPr>
        <w:ind w:left="2160" w:hanging="601"/>
      </w:pPr>
      <w:rPr>
        <w:rFonts w:ascii="Cambria" w:eastAsia="Cambria" w:hAnsi="Cambria" w:cs="Cambria" w:hint="default"/>
        <w:spacing w:val="-2"/>
        <w:w w:val="95"/>
        <w:sz w:val="22"/>
        <w:szCs w:val="22"/>
        <w:lang w:val="en-US" w:eastAsia="en-US" w:bidi="ar-SA"/>
      </w:rPr>
    </w:lvl>
    <w:lvl w:ilvl="3" w:tplc="E200B838">
      <w:numFmt w:val="bullet"/>
      <w:lvlText w:val="•"/>
      <w:lvlJc w:val="left"/>
      <w:pPr>
        <w:ind w:left="2160" w:hanging="601"/>
      </w:pPr>
      <w:rPr>
        <w:rFonts w:hint="default"/>
        <w:lang w:val="en-US" w:eastAsia="en-US" w:bidi="ar-SA"/>
      </w:rPr>
    </w:lvl>
    <w:lvl w:ilvl="4" w:tplc="B4023746">
      <w:numFmt w:val="bullet"/>
      <w:lvlText w:val="•"/>
      <w:lvlJc w:val="left"/>
      <w:pPr>
        <w:ind w:left="3257" w:hanging="601"/>
      </w:pPr>
      <w:rPr>
        <w:rFonts w:hint="default"/>
        <w:lang w:val="en-US" w:eastAsia="en-US" w:bidi="ar-SA"/>
      </w:rPr>
    </w:lvl>
    <w:lvl w:ilvl="5" w:tplc="FB466400">
      <w:numFmt w:val="bullet"/>
      <w:lvlText w:val="•"/>
      <w:lvlJc w:val="left"/>
      <w:pPr>
        <w:ind w:left="4354" w:hanging="601"/>
      </w:pPr>
      <w:rPr>
        <w:rFonts w:hint="default"/>
        <w:lang w:val="en-US" w:eastAsia="en-US" w:bidi="ar-SA"/>
      </w:rPr>
    </w:lvl>
    <w:lvl w:ilvl="6" w:tplc="C382E86A">
      <w:numFmt w:val="bullet"/>
      <w:lvlText w:val="•"/>
      <w:lvlJc w:val="left"/>
      <w:pPr>
        <w:ind w:left="5451" w:hanging="601"/>
      </w:pPr>
      <w:rPr>
        <w:rFonts w:hint="default"/>
        <w:lang w:val="en-US" w:eastAsia="en-US" w:bidi="ar-SA"/>
      </w:rPr>
    </w:lvl>
    <w:lvl w:ilvl="7" w:tplc="ED961A26">
      <w:numFmt w:val="bullet"/>
      <w:lvlText w:val="•"/>
      <w:lvlJc w:val="left"/>
      <w:pPr>
        <w:ind w:left="6548" w:hanging="601"/>
      </w:pPr>
      <w:rPr>
        <w:rFonts w:hint="default"/>
        <w:lang w:val="en-US" w:eastAsia="en-US" w:bidi="ar-SA"/>
      </w:rPr>
    </w:lvl>
    <w:lvl w:ilvl="8" w:tplc="A3F80726">
      <w:numFmt w:val="bullet"/>
      <w:lvlText w:val="•"/>
      <w:lvlJc w:val="left"/>
      <w:pPr>
        <w:ind w:left="7645" w:hanging="601"/>
      </w:pPr>
      <w:rPr>
        <w:rFonts w:hint="default"/>
        <w:lang w:val="en-US" w:eastAsia="en-US" w:bidi="ar-SA"/>
      </w:rPr>
    </w:lvl>
  </w:abstractNum>
  <w:abstractNum w:abstractNumId="5">
    <w:nsid w:val="6BC52412"/>
    <w:multiLevelType w:val="hybridMultilevel"/>
    <w:tmpl w:val="19260B8E"/>
    <w:lvl w:ilvl="0" w:tplc="9DBCCB88">
      <w:start w:val="1"/>
      <w:numFmt w:val="lowerLetter"/>
      <w:lvlText w:val="%1)"/>
      <w:lvlJc w:val="left"/>
      <w:pPr>
        <w:ind w:left="873" w:hanging="255"/>
      </w:pPr>
      <w:rPr>
        <w:rFonts w:ascii="Cambria" w:eastAsia="Cambria" w:hAnsi="Cambria" w:cs="Cambria" w:hint="default"/>
        <w:spacing w:val="-1"/>
        <w:w w:val="100"/>
        <w:sz w:val="22"/>
        <w:szCs w:val="22"/>
        <w:lang w:val="en-US" w:eastAsia="en-US" w:bidi="ar-SA"/>
      </w:rPr>
    </w:lvl>
    <w:lvl w:ilvl="1" w:tplc="B5A2AF26">
      <w:start w:val="1"/>
      <w:numFmt w:val="lowerRoman"/>
      <w:lvlText w:val="(%2)"/>
      <w:lvlJc w:val="left"/>
      <w:pPr>
        <w:ind w:left="1439" w:hanging="360"/>
      </w:pPr>
      <w:rPr>
        <w:rFonts w:ascii="Cambria" w:eastAsia="Cambria" w:hAnsi="Cambria" w:cs="Cambria" w:hint="default"/>
        <w:w w:val="100"/>
        <w:sz w:val="22"/>
        <w:szCs w:val="22"/>
        <w:lang w:val="en-US" w:eastAsia="en-US" w:bidi="ar-SA"/>
      </w:rPr>
    </w:lvl>
    <w:lvl w:ilvl="2" w:tplc="BBEA9C14">
      <w:start w:val="1"/>
      <w:numFmt w:val="lowerRoman"/>
      <w:lvlText w:val="%3."/>
      <w:lvlJc w:val="left"/>
      <w:pPr>
        <w:ind w:left="1619" w:hanging="286"/>
        <w:jc w:val="right"/>
      </w:pPr>
      <w:rPr>
        <w:rFonts w:ascii="Cambria" w:eastAsia="Cambria" w:hAnsi="Cambria" w:cs="Cambria" w:hint="default"/>
        <w:spacing w:val="0"/>
        <w:w w:val="100"/>
        <w:sz w:val="22"/>
        <w:szCs w:val="22"/>
        <w:lang w:val="en-US" w:eastAsia="en-US" w:bidi="ar-SA"/>
      </w:rPr>
    </w:lvl>
    <w:lvl w:ilvl="3" w:tplc="5930110C">
      <w:numFmt w:val="bullet"/>
      <w:lvlText w:val="•"/>
      <w:lvlJc w:val="left"/>
      <w:pPr>
        <w:ind w:left="2647" w:hanging="286"/>
      </w:pPr>
      <w:rPr>
        <w:rFonts w:hint="default"/>
        <w:lang w:val="en-US" w:eastAsia="en-US" w:bidi="ar-SA"/>
      </w:rPr>
    </w:lvl>
    <w:lvl w:ilvl="4" w:tplc="38CA1B56">
      <w:numFmt w:val="bullet"/>
      <w:lvlText w:val="•"/>
      <w:lvlJc w:val="left"/>
      <w:pPr>
        <w:ind w:left="3675" w:hanging="286"/>
      </w:pPr>
      <w:rPr>
        <w:rFonts w:hint="default"/>
        <w:lang w:val="en-US" w:eastAsia="en-US" w:bidi="ar-SA"/>
      </w:rPr>
    </w:lvl>
    <w:lvl w:ilvl="5" w:tplc="2E025AB8">
      <w:numFmt w:val="bullet"/>
      <w:lvlText w:val="•"/>
      <w:lvlJc w:val="left"/>
      <w:pPr>
        <w:ind w:left="4702" w:hanging="286"/>
      </w:pPr>
      <w:rPr>
        <w:rFonts w:hint="default"/>
        <w:lang w:val="en-US" w:eastAsia="en-US" w:bidi="ar-SA"/>
      </w:rPr>
    </w:lvl>
    <w:lvl w:ilvl="6" w:tplc="ACD28A24">
      <w:numFmt w:val="bullet"/>
      <w:lvlText w:val="•"/>
      <w:lvlJc w:val="left"/>
      <w:pPr>
        <w:ind w:left="5730" w:hanging="286"/>
      </w:pPr>
      <w:rPr>
        <w:rFonts w:hint="default"/>
        <w:lang w:val="en-US" w:eastAsia="en-US" w:bidi="ar-SA"/>
      </w:rPr>
    </w:lvl>
    <w:lvl w:ilvl="7" w:tplc="066EE33C">
      <w:numFmt w:val="bullet"/>
      <w:lvlText w:val="•"/>
      <w:lvlJc w:val="left"/>
      <w:pPr>
        <w:ind w:left="6757" w:hanging="286"/>
      </w:pPr>
      <w:rPr>
        <w:rFonts w:hint="default"/>
        <w:lang w:val="en-US" w:eastAsia="en-US" w:bidi="ar-SA"/>
      </w:rPr>
    </w:lvl>
    <w:lvl w:ilvl="8" w:tplc="265C03B8">
      <w:numFmt w:val="bullet"/>
      <w:lvlText w:val="•"/>
      <w:lvlJc w:val="left"/>
      <w:pPr>
        <w:ind w:left="7785" w:hanging="286"/>
      </w:pPr>
      <w:rPr>
        <w:rFonts w:hint="default"/>
        <w:lang w:val="en-US" w:eastAsia="en-US" w:bidi="ar-SA"/>
      </w:rPr>
    </w:lvl>
  </w:abstractNum>
  <w:abstractNum w:abstractNumId="6">
    <w:nsid w:val="7792692C"/>
    <w:multiLevelType w:val="hybridMultilevel"/>
    <w:tmpl w:val="3744BEB6"/>
    <w:lvl w:ilvl="0" w:tplc="02A24EF2">
      <w:start w:val="1"/>
      <w:numFmt w:val="lowerLetter"/>
      <w:lvlText w:val="%1)"/>
      <w:lvlJc w:val="left"/>
      <w:pPr>
        <w:ind w:left="2515" w:hanging="240"/>
      </w:pPr>
      <w:rPr>
        <w:rFonts w:ascii="Cambria" w:eastAsia="Cambria" w:hAnsi="Cambria" w:cs="Cambria" w:hint="default"/>
        <w:spacing w:val="-1"/>
        <w:w w:val="100"/>
        <w:sz w:val="22"/>
        <w:szCs w:val="22"/>
        <w:lang w:val="en-US" w:eastAsia="en-US" w:bidi="ar-SA"/>
      </w:rPr>
    </w:lvl>
    <w:lvl w:ilvl="1" w:tplc="2752F700">
      <w:numFmt w:val="bullet"/>
      <w:lvlText w:val="•"/>
      <w:lvlJc w:val="left"/>
      <w:pPr>
        <w:ind w:left="3252" w:hanging="240"/>
      </w:pPr>
      <w:rPr>
        <w:rFonts w:hint="default"/>
        <w:lang w:val="en-US" w:eastAsia="en-US" w:bidi="ar-SA"/>
      </w:rPr>
    </w:lvl>
    <w:lvl w:ilvl="2" w:tplc="868ABBD4">
      <w:numFmt w:val="bullet"/>
      <w:lvlText w:val="•"/>
      <w:lvlJc w:val="left"/>
      <w:pPr>
        <w:ind w:left="3984" w:hanging="240"/>
      </w:pPr>
      <w:rPr>
        <w:rFonts w:hint="default"/>
        <w:lang w:val="en-US" w:eastAsia="en-US" w:bidi="ar-SA"/>
      </w:rPr>
    </w:lvl>
    <w:lvl w:ilvl="3" w:tplc="68D2C7F8">
      <w:numFmt w:val="bullet"/>
      <w:lvlText w:val="•"/>
      <w:lvlJc w:val="left"/>
      <w:pPr>
        <w:ind w:left="4716" w:hanging="240"/>
      </w:pPr>
      <w:rPr>
        <w:rFonts w:hint="default"/>
        <w:lang w:val="en-US" w:eastAsia="en-US" w:bidi="ar-SA"/>
      </w:rPr>
    </w:lvl>
    <w:lvl w:ilvl="4" w:tplc="2E6C6D3E">
      <w:numFmt w:val="bullet"/>
      <w:lvlText w:val="•"/>
      <w:lvlJc w:val="left"/>
      <w:pPr>
        <w:ind w:left="5448" w:hanging="240"/>
      </w:pPr>
      <w:rPr>
        <w:rFonts w:hint="default"/>
        <w:lang w:val="en-US" w:eastAsia="en-US" w:bidi="ar-SA"/>
      </w:rPr>
    </w:lvl>
    <w:lvl w:ilvl="5" w:tplc="6E289438">
      <w:numFmt w:val="bullet"/>
      <w:lvlText w:val="•"/>
      <w:lvlJc w:val="left"/>
      <w:pPr>
        <w:ind w:left="6180" w:hanging="240"/>
      </w:pPr>
      <w:rPr>
        <w:rFonts w:hint="default"/>
        <w:lang w:val="en-US" w:eastAsia="en-US" w:bidi="ar-SA"/>
      </w:rPr>
    </w:lvl>
    <w:lvl w:ilvl="6" w:tplc="8BF4B9C2">
      <w:numFmt w:val="bullet"/>
      <w:lvlText w:val="•"/>
      <w:lvlJc w:val="left"/>
      <w:pPr>
        <w:ind w:left="6912" w:hanging="240"/>
      </w:pPr>
      <w:rPr>
        <w:rFonts w:hint="default"/>
        <w:lang w:val="en-US" w:eastAsia="en-US" w:bidi="ar-SA"/>
      </w:rPr>
    </w:lvl>
    <w:lvl w:ilvl="7" w:tplc="ED36DF3E">
      <w:numFmt w:val="bullet"/>
      <w:lvlText w:val="•"/>
      <w:lvlJc w:val="left"/>
      <w:pPr>
        <w:ind w:left="7644" w:hanging="240"/>
      </w:pPr>
      <w:rPr>
        <w:rFonts w:hint="default"/>
        <w:lang w:val="en-US" w:eastAsia="en-US" w:bidi="ar-SA"/>
      </w:rPr>
    </w:lvl>
    <w:lvl w:ilvl="8" w:tplc="E5C69766">
      <w:numFmt w:val="bullet"/>
      <w:lvlText w:val="•"/>
      <w:lvlJc w:val="left"/>
      <w:pPr>
        <w:ind w:left="8376" w:hanging="240"/>
      </w:pPr>
      <w:rPr>
        <w:rFonts w:hint="default"/>
        <w:lang w:val="en-US" w:eastAsia="en-US" w:bidi="ar-SA"/>
      </w:rPr>
    </w:lvl>
  </w:abstractNum>
  <w:num w:numId="1">
    <w:abstractNumId w:val="6"/>
  </w:num>
  <w:num w:numId="2">
    <w:abstractNumId w:val="2"/>
  </w:num>
  <w:num w:numId="3">
    <w:abstractNumId w:val="1"/>
  </w:num>
  <w:num w:numId="4">
    <w:abstractNumId w:val="0"/>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drawingGridHorizontalSpacing w:val="110"/>
  <w:displayHorizontalDrawingGridEvery w:val="2"/>
  <w:characterSpacingControl w:val="doNotCompress"/>
  <w:compat>
    <w:ulTrailSpace/>
  </w:compat>
  <w:rsids>
    <w:rsidRoot w:val="000011E9"/>
    <w:rsid w:val="000011E9"/>
    <w:rsid w:val="00014438"/>
    <w:rsid w:val="000266D0"/>
    <w:rsid w:val="000F6286"/>
    <w:rsid w:val="001557CC"/>
    <w:rsid w:val="001D4EBC"/>
    <w:rsid w:val="001D731D"/>
    <w:rsid w:val="00222EA3"/>
    <w:rsid w:val="002306A6"/>
    <w:rsid w:val="00294A1C"/>
    <w:rsid w:val="002C47B4"/>
    <w:rsid w:val="0031603D"/>
    <w:rsid w:val="003308CA"/>
    <w:rsid w:val="0042572B"/>
    <w:rsid w:val="00450BE5"/>
    <w:rsid w:val="00514E9C"/>
    <w:rsid w:val="00563989"/>
    <w:rsid w:val="0058769F"/>
    <w:rsid w:val="005E1D4F"/>
    <w:rsid w:val="005F37DC"/>
    <w:rsid w:val="00695468"/>
    <w:rsid w:val="006B5063"/>
    <w:rsid w:val="006E36C8"/>
    <w:rsid w:val="00742A5C"/>
    <w:rsid w:val="00777188"/>
    <w:rsid w:val="00790B06"/>
    <w:rsid w:val="007A10D6"/>
    <w:rsid w:val="007A5744"/>
    <w:rsid w:val="00826ECD"/>
    <w:rsid w:val="008C5143"/>
    <w:rsid w:val="008D4F58"/>
    <w:rsid w:val="009440E6"/>
    <w:rsid w:val="00AC31A8"/>
    <w:rsid w:val="00B515BB"/>
    <w:rsid w:val="00BC75B0"/>
    <w:rsid w:val="00C30076"/>
    <w:rsid w:val="00C318F3"/>
    <w:rsid w:val="00C66E2A"/>
    <w:rsid w:val="00CA3C28"/>
    <w:rsid w:val="00D42916"/>
    <w:rsid w:val="00D97EFF"/>
    <w:rsid w:val="00DA1CA2"/>
    <w:rsid w:val="00DC1084"/>
    <w:rsid w:val="00DF11D3"/>
    <w:rsid w:val="00E643C2"/>
    <w:rsid w:val="00ED4ADE"/>
    <w:rsid w:val="00F3034F"/>
    <w:rsid w:val="00F53778"/>
    <w:rsid w:val="00F57801"/>
    <w:rsid w:val="00F909CB"/>
    <w:rsid w:val="00FD2B3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EBC"/>
    <w:rPr>
      <w:rFonts w:ascii="Cambria" w:eastAsia="Cambria" w:hAnsi="Cambria" w:cs="Cambria"/>
    </w:rPr>
  </w:style>
  <w:style w:type="paragraph" w:styleId="Heading1">
    <w:name w:val="heading 1"/>
    <w:basedOn w:val="Normal"/>
    <w:uiPriority w:val="9"/>
    <w:qFormat/>
    <w:rsid w:val="001D4EBC"/>
    <w:pPr>
      <w:ind w:left="1143" w:right="1311"/>
      <w:jc w:val="center"/>
      <w:outlineLvl w:val="0"/>
    </w:pPr>
    <w:rPr>
      <w:b/>
      <w:bCs/>
      <w:sz w:val="26"/>
      <w:szCs w:val="26"/>
    </w:rPr>
  </w:style>
  <w:style w:type="paragraph" w:styleId="Heading2">
    <w:name w:val="heading 2"/>
    <w:basedOn w:val="Normal"/>
    <w:uiPriority w:val="9"/>
    <w:unhideWhenUsed/>
    <w:qFormat/>
    <w:rsid w:val="001D4EBC"/>
    <w:pPr>
      <w:ind w:left="832" w:hanging="680"/>
      <w:outlineLvl w:val="1"/>
    </w:pPr>
    <w:rPr>
      <w:b/>
      <w:bCs/>
      <w:sz w:val="24"/>
      <w:szCs w:val="24"/>
    </w:rPr>
  </w:style>
  <w:style w:type="paragraph" w:styleId="Heading3">
    <w:name w:val="heading 3"/>
    <w:basedOn w:val="Normal"/>
    <w:uiPriority w:val="9"/>
    <w:unhideWhenUsed/>
    <w:qFormat/>
    <w:rsid w:val="001D4EBC"/>
    <w:pPr>
      <w:spacing w:before="130"/>
      <w:ind w:left="1093" w:hanging="633"/>
      <w:outlineLvl w:val="2"/>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C66E2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D4EBC"/>
  </w:style>
  <w:style w:type="paragraph" w:styleId="Title">
    <w:name w:val="Title"/>
    <w:basedOn w:val="Normal"/>
    <w:uiPriority w:val="10"/>
    <w:qFormat/>
    <w:rsid w:val="001D4EBC"/>
    <w:pPr>
      <w:spacing w:before="199"/>
      <w:ind w:left="108"/>
    </w:pPr>
    <w:rPr>
      <w:rFonts w:ascii="Times New Roman" w:eastAsia="Times New Roman" w:hAnsi="Times New Roman" w:cs="Times New Roman"/>
      <w:b/>
      <w:bCs/>
      <w:sz w:val="46"/>
      <w:szCs w:val="46"/>
    </w:rPr>
  </w:style>
  <w:style w:type="paragraph" w:styleId="ListParagraph">
    <w:name w:val="List Paragraph"/>
    <w:basedOn w:val="Normal"/>
    <w:uiPriority w:val="1"/>
    <w:qFormat/>
    <w:rsid w:val="001D4EBC"/>
    <w:pPr>
      <w:ind w:left="2126"/>
      <w:jc w:val="both"/>
    </w:pPr>
  </w:style>
  <w:style w:type="paragraph" w:customStyle="1" w:styleId="TableParagraph">
    <w:name w:val="Table Paragraph"/>
    <w:basedOn w:val="Normal"/>
    <w:uiPriority w:val="1"/>
    <w:qFormat/>
    <w:rsid w:val="001D4EBC"/>
  </w:style>
  <w:style w:type="character" w:customStyle="1" w:styleId="Heading4Char">
    <w:name w:val="Heading 4 Char"/>
    <w:basedOn w:val="DefaultParagraphFont"/>
    <w:link w:val="Heading4"/>
    <w:uiPriority w:val="9"/>
    <w:semiHidden/>
    <w:rsid w:val="00C66E2A"/>
    <w:rPr>
      <w:rFonts w:asciiTheme="majorHAnsi" w:eastAsiaTheme="majorEastAsia" w:hAnsiTheme="majorHAnsi" w:cstheme="majorBidi"/>
      <w:i/>
      <w:iCs/>
      <w:color w:val="365F91" w:themeColor="accent1" w:themeShade="BF"/>
    </w:rPr>
  </w:style>
  <w:style w:type="paragraph" w:styleId="BodyText2">
    <w:name w:val="Body Text 2"/>
    <w:basedOn w:val="Normal"/>
    <w:link w:val="BodyText2Char"/>
    <w:uiPriority w:val="99"/>
    <w:semiHidden/>
    <w:unhideWhenUsed/>
    <w:rsid w:val="00C66E2A"/>
    <w:pPr>
      <w:spacing w:after="120" w:line="480" w:lineRule="auto"/>
    </w:pPr>
  </w:style>
  <w:style w:type="character" w:customStyle="1" w:styleId="BodyText2Char">
    <w:name w:val="Body Text 2 Char"/>
    <w:basedOn w:val="DefaultParagraphFont"/>
    <w:link w:val="BodyText2"/>
    <w:uiPriority w:val="99"/>
    <w:semiHidden/>
    <w:rsid w:val="00C66E2A"/>
    <w:rPr>
      <w:rFonts w:ascii="Cambria" w:eastAsia="Cambria" w:hAnsi="Cambria" w:cs="Cambria"/>
    </w:rPr>
  </w:style>
  <w:style w:type="paragraph" w:styleId="NoSpacing">
    <w:name w:val="No Spacing"/>
    <w:uiPriority w:val="1"/>
    <w:qFormat/>
    <w:rsid w:val="00DC1084"/>
    <w:pPr>
      <w:widowControl/>
      <w:autoSpaceDE/>
      <w:autoSpaceDN/>
    </w:pPr>
    <w:rPr>
      <w:rFonts w:ascii="Calibri" w:eastAsia="Calibri" w:hAnsi="Calibri" w:cs="Times New Roman"/>
      <w:lang w:val="en-IN"/>
    </w:rPr>
  </w:style>
  <w:style w:type="character" w:styleId="Hyperlink">
    <w:name w:val="Hyperlink"/>
    <w:basedOn w:val="DefaultParagraphFont"/>
    <w:unhideWhenUsed/>
    <w:rsid w:val="00DC1084"/>
    <w:rPr>
      <w:color w:val="0066CC"/>
      <w:u w:val="single"/>
    </w:rPr>
  </w:style>
  <w:style w:type="paragraph" w:styleId="BalloonText">
    <w:name w:val="Balloon Text"/>
    <w:basedOn w:val="Normal"/>
    <w:link w:val="BalloonTextChar"/>
    <w:uiPriority w:val="99"/>
    <w:semiHidden/>
    <w:unhideWhenUsed/>
    <w:rsid w:val="00742A5C"/>
    <w:rPr>
      <w:rFonts w:ascii="Tahoma" w:hAnsi="Tahoma" w:cs="Tahoma"/>
      <w:sz w:val="16"/>
      <w:szCs w:val="16"/>
    </w:rPr>
  </w:style>
  <w:style w:type="character" w:customStyle="1" w:styleId="BalloonTextChar">
    <w:name w:val="Balloon Text Char"/>
    <w:basedOn w:val="DefaultParagraphFont"/>
    <w:link w:val="BalloonText"/>
    <w:uiPriority w:val="99"/>
    <w:semiHidden/>
    <w:rsid w:val="00742A5C"/>
    <w:rPr>
      <w:rFonts w:ascii="Tahoma" w:eastAsia="Cambri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nerc_kohima@yahoo.com/" TargetMode="External"/><Relationship Id="rId3" Type="http://schemas.openxmlformats.org/officeDocument/2006/relationships/styles" Target="styles.xml"/><Relationship Id="rId7" Type="http://schemas.openxmlformats.org/officeDocument/2006/relationships/hyperlink" Target="mailto:nerc_kohima@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CC840-4417-4E88-915A-2DF811063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2674</Words>
  <Characters>15248</Characters>
  <Application>Microsoft Office Word</Application>
  <DocSecurity>0</DocSecurity>
  <Lines>127</Lines>
  <Paragraphs>35</Paragraphs>
  <ScaleCrop>false</ScaleCrop>
  <Company/>
  <LinksUpToDate>false</LinksUpToDate>
  <CharactersWithSpaces>17887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 Terms and Conditions of Intra-State Open Access Regulations,2010 01.10.10</dc:title>
  <dc:creator>Software</dc:creator>
  <cp:lastModifiedBy>My Pc</cp:lastModifiedBy>
  <cp:revision>28</cp:revision>
  <dcterms:created xsi:type="dcterms:W3CDTF">2024-07-26T10:11:00Z</dcterms:created>
  <dcterms:modified xsi:type="dcterms:W3CDTF">2024-10-08T06:18:00Z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2023-05-03T00:00:00Z</vt:filetime>
  </property>
  <property fmtid="{D5CDD505-2E9C-101B-9397-08002B2CF9AE}" pid="3" name="Creator">
    <vt:lpwstr>Microsoft® Word 2019</vt:lpwstr>
  </property>
  <property fmtid="{D5CDD505-2E9C-101B-9397-08002B2CF9AE}" pid="4" name="LastSaved">
    <vt:filetime>2024-07-25T00:00:00Z</vt:filetime>
  </property>
</Properties>
</file>